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EBB" w:rsidRPr="00E33A7C" w:rsidRDefault="00674EBB" w:rsidP="00385A28">
      <w:pPr>
        <w:spacing w:line="360" w:lineRule="auto"/>
        <w:jc w:val="center"/>
        <w:rPr>
          <w:rFonts w:ascii="Times New Roman" w:hAnsi="Times New Roman" w:cs="Times New Roman"/>
          <w:b/>
          <w:sz w:val="28"/>
          <w:szCs w:val="28"/>
          <w:lang w:val="es-MX"/>
        </w:rPr>
      </w:pPr>
    </w:p>
    <w:p w:rsidR="00CD0A12" w:rsidRDefault="00674EBB" w:rsidP="00CD0A12">
      <w:pPr>
        <w:spacing w:line="360" w:lineRule="auto"/>
        <w:jc w:val="center"/>
        <w:rPr>
          <w:rFonts w:ascii="Times New Roman" w:hAnsi="Times New Roman" w:cs="Times New Roman"/>
          <w:b/>
          <w:sz w:val="28"/>
          <w:szCs w:val="28"/>
          <w:lang w:val="es-MX"/>
        </w:rPr>
      </w:pPr>
      <w:r w:rsidRPr="00E33A7C">
        <w:rPr>
          <w:rFonts w:ascii="Times New Roman" w:hAnsi="Times New Roman" w:cs="Times New Roman"/>
          <w:b/>
          <w:sz w:val="28"/>
          <w:szCs w:val="28"/>
          <w:lang w:val="es-MX"/>
        </w:rPr>
        <w:t>EL CONTRATO DE C</w:t>
      </w:r>
      <w:r w:rsidR="00CD0A12">
        <w:rPr>
          <w:rFonts w:ascii="Times New Roman" w:hAnsi="Times New Roman" w:cs="Times New Roman"/>
          <w:b/>
          <w:sz w:val="28"/>
          <w:szCs w:val="28"/>
          <w:lang w:val="es-MX"/>
        </w:rPr>
        <w:t>OMPRAVENTA INTERNACIONAL DE MER</w:t>
      </w:r>
      <w:r w:rsidRPr="00E33A7C">
        <w:rPr>
          <w:rFonts w:ascii="Times New Roman" w:hAnsi="Times New Roman" w:cs="Times New Roman"/>
          <w:b/>
          <w:sz w:val="28"/>
          <w:szCs w:val="28"/>
          <w:lang w:val="es-MX"/>
        </w:rPr>
        <w:t xml:space="preserve">CADERÍAS EN EL REGIMEN DE LA </w:t>
      </w:r>
    </w:p>
    <w:p w:rsidR="00814DF7" w:rsidRDefault="00674EBB" w:rsidP="00CD0A12">
      <w:pPr>
        <w:spacing w:line="360" w:lineRule="auto"/>
        <w:jc w:val="center"/>
        <w:rPr>
          <w:rFonts w:ascii="Times New Roman" w:hAnsi="Times New Roman" w:cs="Times New Roman"/>
          <w:b/>
          <w:sz w:val="28"/>
          <w:szCs w:val="28"/>
          <w:lang w:val="es-MX"/>
        </w:rPr>
      </w:pPr>
      <w:r w:rsidRPr="00E33A7C">
        <w:rPr>
          <w:rFonts w:ascii="Times New Roman" w:hAnsi="Times New Roman" w:cs="Times New Roman"/>
          <w:b/>
          <w:sz w:val="28"/>
          <w:szCs w:val="28"/>
          <w:lang w:val="es-MX"/>
        </w:rPr>
        <w:t>CONVENCIÓN DE VIENA DE 1980</w:t>
      </w:r>
    </w:p>
    <w:p w:rsidR="00CD0A12" w:rsidRDefault="00CD0A12" w:rsidP="00CD0A12">
      <w:pPr>
        <w:spacing w:line="360" w:lineRule="auto"/>
        <w:jc w:val="right"/>
        <w:rPr>
          <w:rFonts w:ascii="Brush Script MT" w:hAnsi="Brush Script MT" w:cs="Times New Roman"/>
          <w:sz w:val="28"/>
          <w:szCs w:val="28"/>
          <w:lang w:val="es-MX"/>
        </w:rPr>
      </w:pPr>
    </w:p>
    <w:p w:rsidR="00CD0A12" w:rsidRPr="00CD0A12" w:rsidRDefault="00CD0A12" w:rsidP="00CD0A12">
      <w:pPr>
        <w:spacing w:line="360" w:lineRule="auto"/>
        <w:jc w:val="right"/>
        <w:rPr>
          <w:rFonts w:ascii="Times New Roman" w:hAnsi="Times New Roman" w:cs="Times New Roman"/>
          <w:i/>
          <w:sz w:val="28"/>
          <w:szCs w:val="28"/>
          <w:lang w:val="es-MX"/>
        </w:rPr>
      </w:pPr>
      <w:r w:rsidRPr="00CD0A12">
        <w:rPr>
          <w:rFonts w:ascii="Times New Roman" w:hAnsi="Times New Roman" w:cs="Times New Roman"/>
          <w:i/>
          <w:sz w:val="28"/>
          <w:szCs w:val="28"/>
          <w:lang w:val="es-MX"/>
        </w:rPr>
        <w:t>Dr. José Vicente Troya Jaramillo</w:t>
      </w:r>
    </w:p>
    <w:p w:rsidR="00904911" w:rsidRPr="00E33A7C" w:rsidRDefault="00904911" w:rsidP="00385A28">
      <w:pPr>
        <w:spacing w:line="360" w:lineRule="auto"/>
        <w:ind w:left="360"/>
        <w:jc w:val="both"/>
        <w:rPr>
          <w:rFonts w:ascii="Times New Roman" w:hAnsi="Times New Roman" w:cs="Times New Roman"/>
          <w:i/>
          <w:sz w:val="28"/>
          <w:szCs w:val="28"/>
          <w:lang w:val="es-MX"/>
        </w:rPr>
      </w:pPr>
    </w:p>
    <w:p w:rsidR="00904911" w:rsidRDefault="00E11124" w:rsidP="00385A28">
      <w:pPr>
        <w:spacing w:line="360" w:lineRule="auto"/>
        <w:ind w:left="360"/>
        <w:jc w:val="both"/>
        <w:rPr>
          <w:rFonts w:ascii="Times New Roman" w:hAnsi="Times New Roman" w:cs="Times New Roman"/>
          <w:i/>
          <w:sz w:val="28"/>
          <w:szCs w:val="28"/>
          <w:lang w:val="es-MX"/>
        </w:rPr>
      </w:pPr>
      <w:r w:rsidRPr="00E33A7C">
        <w:rPr>
          <w:rFonts w:ascii="Times New Roman" w:hAnsi="Times New Roman" w:cs="Times New Roman"/>
          <w:i/>
          <w:sz w:val="28"/>
          <w:szCs w:val="28"/>
          <w:lang w:val="es-MX"/>
        </w:rPr>
        <w:t>1</w:t>
      </w:r>
      <w:r w:rsidRPr="00E33A7C">
        <w:rPr>
          <w:rFonts w:ascii="Times New Roman" w:hAnsi="Times New Roman" w:cs="Times New Roman"/>
          <w:sz w:val="28"/>
          <w:szCs w:val="28"/>
          <w:lang w:val="es-MX"/>
        </w:rPr>
        <w:t>.</w:t>
      </w:r>
      <w:r w:rsidRPr="00E33A7C">
        <w:rPr>
          <w:rFonts w:ascii="Times New Roman" w:hAnsi="Times New Roman" w:cs="Times New Roman"/>
          <w:i/>
          <w:sz w:val="28"/>
          <w:szCs w:val="28"/>
          <w:lang w:val="es-MX"/>
        </w:rPr>
        <w:t xml:space="preserve"> Definiciones</w:t>
      </w:r>
      <w:r w:rsidR="00674EBB" w:rsidRPr="00E33A7C">
        <w:rPr>
          <w:rFonts w:ascii="Times New Roman" w:hAnsi="Times New Roman" w:cs="Times New Roman"/>
          <w:i/>
          <w:sz w:val="28"/>
          <w:szCs w:val="28"/>
          <w:lang w:val="es-MX"/>
        </w:rPr>
        <w:t xml:space="preserve"> principales: compraventa, internacional, mercaderías</w:t>
      </w:r>
      <w:r w:rsidR="007613C0" w:rsidRPr="00E33A7C">
        <w:rPr>
          <w:rFonts w:ascii="Times New Roman" w:hAnsi="Times New Roman" w:cs="Times New Roman"/>
          <w:i/>
          <w:sz w:val="28"/>
          <w:szCs w:val="28"/>
          <w:lang w:val="es-MX"/>
        </w:rPr>
        <w:t xml:space="preserve">. 2. Naturaleza del contrato. 3. Ámbito de aplicación de </w:t>
      </w:r>
      <w:smartTag w:uri="urn:schemas-microsoft-com:office:smarttags" w:element="PersonName">
        <w:smartTagPr>
          <w:attr w:name="ProductID" w:val="LA CONVENCIￓN"/>
        </w:smartTagPr>
        <w:r w:rsidR="007613C0" w:rsidRPr="00E33A7C">
          <w:rPr>
            <w:rFonts w:ascii="Times New Roman" w:hAnsi="Times New Roman" w:cs="Times New Roman"/>
            <w:i/>
            <w:sz w:val="28"/>
            <w:szCs w:val="28"/>
            <w:lang w:val="es-MX"/>
          </w:rPr>
          <w:t>la Convención</w:t>
        </w:r>
      </w:smartTag>
      <w:r w:rsidR="007613C0" w:rsidRPr="00E33A7C">
        <w:rPr>
          <w:rFonts w:ascii="Times New Roman" w:hAnsi="Times New Roman" w:cs="Times New Roman"/>
          <w:i/>
          <w:sz w:val="28"/>
          <w:szCs w:val="28"/>
          <w:lang w:val="es-MX"/>
        </w:rPr>
        <w:t xml:space="preserve"> y cuestiones</w:t>
      </w:r>
      <w:r w:rsidR="00DF01FA">
        <w:rPr>
          <w:rFonts w:ascii="Times New Roman" w:hAnsi="Times New Roman" w:cs="Times New Roman"/>
          <w:i/>
          <w:sz w:val="28"/>
          <w:szCs w:val="28"/>
          <w:lang w:val="es-MX"/>
        </w:rPr>
        <w:t xml:space="preserve"> incluidas y</w:t>
      </w:r>
      <w:r w:rsidR="007613C0" w:rsidRPr="00E33A7C">
        <w:rPr>
          <w:rFonts w:ascii="Times New Roman" w:hAnsi="Times New Roman" w:cs="Times New Roman"/>
          <w:i/>
          <w:sz w:val="28"/>
          <w:szCs w:val="28"/>
          <w:lang w:val="es-MX"/>
        </w:rPr>
        <w:t xml:space="preserve"> excluidas. 4. Interpretación de la convención. 5. Formación del contrato: oferta, aceptación, contraoferta.  Perfeccionamiento del contrato. 6. Modificación</w:t>
      </w:r>
      <w:r w:rsidR="000922AC" w:rsidRPr="00E33A7C">
        <w:rPr>
          <w:rFonts w:ascii="Times New Roman" w:hAnsi="Times New Roman" w:cs="Times New Roman"/>
          <w:i/>
          <w:sz w:val="28"/>
          <w:szCs w:val="28"/>
          <w:lang w:val="es-MX"/>
        </w:rPr>
        <w:t xml:space="preserve"> e interpretación</w:t>
      </w:r>
      <w:r w:rsidR="007613C0" w:rsidRPr="00E33A7C">
        <w:rPr>
          <w:rFonts w:ascii="Times New Roman" w:hAnsi="Times New Roman" w:cs="Times New Roman"/>
          <w:i/>
          <w:sz w:val="28"/>
          <w:szCs w:val="28"/>
          <w:lang w:val="es-MX"/>
        </w:rPr>
        <w:t xml:space="preserve"> del contrat</w:t>
      </w:r>
      <w:r w:rsidR="00AB1345" w:rsidRPr="00E33A7C">
        <w:rPr>
          <w:rFonts w:ascii="Times New Roman" w:hAnsi="Times New Roman" w:cs="Times New Roman"/>
          <w:i/>
          <w:sz w:val="28"/>
          <w:szCs w:val="28"/>
          <w:lang w:val="es-MX"/>
        </w:rPr>
        <w:t>o. 7. Obligaciones de las partes: 7.1. Entrega. 7.2. Conformidad. 7.3. Transmisión de la propiedad.</w:t>
      </w:r>
      <w:r w:rsidR="008D728E" w:rsidRPr="00E33A7C">
        <w:rPr>
          <w:rFonts w:ascii="Times New Roman" w:hAnsi="Times New Roman" w:cs="Times New Roman"/>
          <w:i/>
          <w:sz w:val="28"/>
          <w:szCs w:val="28"/>
          <w:lang w:val="es-MX"/>
        </w:rPr>
        <w:t xml:space="preserve"> 7.4. Entrega de documentos.</w:t>
      </w:r>
      <w:r w:rsidR="00900611" w:rsidRPr="00E33A7C">
        <w:rPr>
          <w:rFonts w:ascii="Times New Roman" w:hAnsi="Times New Roman" w:cs="Times New Roman"/>
          <w:i/>
          <w:sz w:val="28"/>
          <w:szCs w:val="28"/>
          <w:lang w:val="es-MX"/>
        </w:rPr>
        <w:t xml:space="preserve"> 7.5. Pago del precio.</w:t>
      </w:r>
      <w:r w:rsidR="007077F7">
        <w:rPr>
          <w:rFonts w:ascii="Times New Roman" w:hAnsi="Times New Roman" w:cs="Times New Roman"/>
          <w:i/>
          <w:sz w:val="28"/>
          <w:szCs w:val="28"/>
          <w:lang w:val="es-MX"/>
        </w:rPr>
        <w:t xml:space="preserve"> 7.6. Recepción de las mercaderías. </w:t>
      </w:r>
      <w:r w:rsidR="007613C0" w:rsidRPr="00E33A7C">
        <w:rPr>
          <w:rFonts w:ascii="Times New Roman" w:hAnsi="Times New Roman" w:cs="Times New Roman"/>
          <w:i/>
          <w:sz w:val="28"/>
          <w:szCs w:val="28"/>
          <w:lang w:val="es-MX"/>
        </w:rPr>
        <w:t xml:space="preserve"> 8. Incumplimiento del contrato.</w:t>
      </w:r>
      <w:r w:rsidR="005E454C">
        <w:rPr>
          <w:rFonts w:ascii="Times New Roman" w:hAnsi="Times New Roman" w:cs="Times New Roman"/>
          <w:i/>
          <w:sz w:val="28"/>
          <w:szCs w:val="28"/>
          <w:lang w:val="es-MX"/>
        </w:rPr>
        <w:t xml:space="preserve"> 8.1. Incumplimiento del vendedor. 8.2. Incumplimiento del comprador.</w:t>
      </w:r>
      <w:r w:rsidR="00DF01FA">
        <w:rPr>
          <w:rFonts w:ascii="Times New Roman" w:hAnsi="Times New Roman" w:cs="Times New Roman"/>
          <w:i/>
          <w:sz w:val="28"/>
          <w:szCs w:val="28"/>
          <w:lang w:val="es-MX"/>
        </w:rPr>
        <w:t xml:space="preserve"> </w:t>
      </w:r>
      <w:r w:rsidR="005E454C">
        <w:rPr>
          <w:rFonts w:ascii="Times New Roman" w:hAnsi="Times New Roman" w:cs="Times New Roman"/>
          <w:i/>
          <w:sz w:val="28"/>
          <w:szCs w:val="28"/>
          <w:lang w:val="es-MX"/>
        </w:rPr>
        <w:t>8.3.</w:t>
      </w:r>
      <w:r w:rsidR="000847C9">
        <w:rPr>
          <w:rFonts w:ascii="Times New Roman" w:hAnsi="Times New Roman" w:cs="Times New Roman"/>
          <w:i/>
          <w:sz w:val="28"/>
          <w:szCs w:val="28"/>
          <w:lang w:val="es-MX"/>
        </w:rPr>
        <w:t xml:space="preserve"> Normas comunes sobre incumplimi</w:t>
      </w:r>
      <w:r w:rsidR="00614B22">
        <w:rPr>
          <w:rFonts w:ascii="Times New Roman" w:hAnsi="Times New Roman" w:cs="Times New Roman"/>
          <w:i/>
          <w:sz w:val="28"/>
          <w:szCs w:val="28"/>
          <w:lang w:val="es-MX"/>
        </w:rPr>
        <w:t>ento</w:t>
      </w:r>
      <w:r w:rsidR="007613C0" w:rsidRPr="00E33A7C">
        <w:rPr>
          <w:rFonts w:ascii="Times New Roman" w:hAnsi="Times New Roman" w:cs="Times New Roman"/>
          <w:i/>
          <w:sz w:val="28"/>
          <w:szCs w:val="28"/>
          <w:lang w:val="es-MX"/>
        </w:rPr>
        <w:t>.</w:t>
      </w:r>
      <w:r w:rsidRPr="00E33A7C">
        <w:rPr>
          <w:rFonts w:ascii="Times New Roman" w:hAnsi="Times New Roman" w:cs="Times New Roman"/>
          <w:i/>
          <w:sz w:val="28"/>
          <w:szCs w:val="28"/>
          <w:lang w:val="es-MX"/>
        </w:rPr>
        <w:t xml:space="preserve"> 9.</w:t>
      </w:r>
      <w:r w:rsidR="00614B22">
        <w:rPr>
          <w:rFonts w:ascii="Times New Roman" w:hAnsi="Times New Roman" w:cs="Times New Roman"/>
          <w:i/>
          <w:sz w:val="28"/>
          <w:szCs w:val="28"/>
          <w:lang w:val="es-MX"/>
        </w:rPr>
        <w:t>1</w:t>
      </w:r>
      <w:r w:rsidRPr="00E33A7C">
        <w:rPr>
          <w:rFonts w:ascii="Times New Roman" w:hAnsi="Times New Roman" w:cs="Times New Roman"/>
          <w:i/>
          <w:sz w:val="28"/>
          <w:szCs w:val="28"/>
          <w:lang w:val="es-MX"/>
        </w:rPr>
        <w:t xml:space="preserve"> </w:t>
      </w:r>
      <w:r w:rsidR="00614B22">
        <w:rPr>
          <w:rFonts w:ascii="Times New Roman" w:hAnsi="Times New Roman" w:cs="Times New Roman"/>
          <w:i/>
          <w:sz w:val="28"/>
          <w:szCs w:val="28"/>
          <w:lang w:val="es-MX"/>
        </w:rPr>
        <w:t xml:space="preserve"> Indemnización de daños y perjuicios. 9.2. Exoneración del pago de daños y perjuicios. 9.3. Efectos de la resolución</w:t>
      </w:r>
      <w:r w:rsidRPr="00E33A7C">
        <w:rPr>
          <w:rFonts w:ascii="Times New Roman" w:hAnsi="Times New Roman" w:cs="Times New Roman"/>
          <w:i/>
          <w:sz w:val="28"/>
          <w:szCs w:val="28"/>
          <w:lang w:val="es-MX"/>
        </w:rPr>
        <w:t xml:space="preserve">. 10. Transmisión del riesgo. </w:t>
      </w:r>
    </w:p>
    <w:p w:rsidR="00E10F70" w:rsidRPr="00E33A7C" w:rsidRDefault="00E10F70" w:rsidP="00385A28">
      <w:pPr>
        <w:spacing w:line="360" w:lineRule="auto"/>
        <w:ind w:left="360"/>
        <w:jc w:val="both"/>
        <w:rPr>
          <w:rFonts w:ascii="Times New Roman" w:hAnsi="Times New Roman" w:cs="Times New Roman"/>
          <w:sz w:val="28"/>
          <w:szCs w:val="28"/>
          <w:lang w:val="es-MX"/>
        </w:rPr>
      </w:pPr>
    </w:p>
    <w:p w:rsidR="00904911" w:rsidRPr="00E33A7C" w:rsidRDefault="003A10C6"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1.</w:t>
      </w:r>
      <w:r w:rsidR="009A234D" w:rsidRPr="00E33A7C">
        <w:rPr>
          <w:rFonts w:ascii="Times New Roman" w:hAnsi="Times New Roman" w:cs="Times New Roman"/>
          <w:sz w:val="28"/>
          <w:szCs w:val="28"/>
          <w:lang w:val="es-MX"/>
        </w:rPr>
        <w:t xml:space="preserve"> </w:t>
      </w:r>
      <w:smartTag w:uri="urn:schemas-microsoft-com:office:smarttags" w:element="PersonName">
        <w:smartTagPr>
          <w:attr w:name="ProductID" w:val="La Convenci￳n"/>
        </w:smartTagPr>
        <w:r w:rsidR="0020299B" w:rsidRPr="00E33A7C">
          <w:rPr>
            <w:rFonts w:ascii="Times New Roman" w:hAnsi="Times New Roman" w:cs="Times New Roman"/>
            <w:sz w:val="28"/>
            <w:szCs w:val="28"/>
            <w:lang w:val="es-MX"/>
          </w:rPr>
          <w:t>La Convención</w:t>
        </w:r>
      </w:smartTag>
      <w:r w:rsidR="0020299B" w:rsidRPr="00E33A7C">
        <w:rPr>
          <w:rFonts w:ascii="Times New Roman" w:hAnsi="Times New Roman" w:cs="Times New Roman"/>
          <w:sz w:val="28"/>
          <w:szCs w:val="28"/>
          <w:lang w:val="es-MX"/>
        </w:rPr>
        <w:t xml:space="preserve"> de Viena, en adelante CV, no define lo que es contrato de compraventa de mercaderías. Da por supuesta la definición que</w:t>
      </w:r>
      <w:r w:rsidR="00A141D0">
        <w:rPr>
          <w:rFonts w:ascii="Times New Roman" w:hAnsi="Times New Roman" w:cs="Times New Roman"/>
          <w:sz w:val="28"/>
          <w:szCs w:val="28"/>
          <w:lang w:val="es-MX"/>
        </w:rPr>
        <w:t xml:space="preserve">, </w:t>
      </w:r>
      <w:r w:rsidR="00AE6EE1" w:rsidRPr="00E33A7C">
        <w:rPr>
          <w:rFonts w:ascii="Times New Roman" w:hAnsi="Times New Roman" w:cs="Times New Roman"/>
          <w:sz w:val="28"/>
          <w:szCs w:val="28"/>
          <w:lang w:val="es-MX"/>
        </w:rPr>
        <w:t>en nuestra  legislación,</w:t>
      </w:r>
      <w:r w:rsidR="0020299B" w:rsidRPr="00E33A7C">
        <w:rPr>
          <w:rFonts w:ascii="Times New Roman" w:hAnsi="Times New Roman" w:cs="Times New Roman"/>
          <w:sz w:val="28"/>
          <w:szCs w:val="28"/>
          <w:lang w:val="es-MX"/>
        </w:rPr>
        <w:t xml:space="preserve"> consta en los códigos civil y de comercio.</w:t>
      </w:r>
      <w:r w:rsidR="00AE6EE1" w:rsidRPr="00E33A7C">
        <w:rPr>
          <w:rFonts w:ascii="Times New Roman" w:hAnsi="Times New Roman" w:cs="Times New Roman"/>
          <w:sz w:val="28"/>
          <w:szCs w:val="28"/>
          <w:lang w:val="es-MX"/>
        </w:rPr>
        <w:t xml:space="preserve"> Se tiene por compraventa, según el</w:t>
      </w:r>
      <w:r w:rsidR="007A18D9">
        <w:rPr>
          <w:rFonts w:ascii="Times New Roman" w:hAnsi="Times New Roman" w:cs="Times New Roman"/>
          <w:sz w:val="28"/>
          <w:szCs w:val="28"/>
          <w:lang w:val="es-MX"/>
        </w:rPr>
        <w:t xml:space="preserve"> artículo 1732 del </w:t>
      </w:r>
      <w:r w:rsidR="00AE6EE1" w:rsidRPr="00E33A7C">
        <w:rPr>
          <w:rFonts w:ascii="Times New Roman" w:hAnsi="Times New Roman" w:cs="Times New Roman"/>
          <w:sz w:val="28"/>
          <w:szCs w:val="28"/>
          <w:lang w:val="es-MX"/>
        </w:rPr>
        <w:t xml:space="preserve"> Código Civil, </w:t>
      </w:r>
      <w:r w:rsidR="00AE6EE1" w:rsidRPr="00E33A7C">
        <w:rPr>
          <w:rFonts w:ascii="Times New Roman" w:hAnsi="Times New Roman" w:cs="Times New Roman"/>
          <w:i/>
          <w:sz w:val="28"/>
          <w:szCs w:val="28"/>
          <w:lang w:val="es-MX"/>
        </w:rPr>
        <w:t xml:space="preserve">el contrato mediante el cual una de las partes se obliga a dar una cosa y la otra a pagarla en dinero. El que contrae la obligación de dar la cosa se llama vendedor y  el que contrae  la de pagar el dinero, comprador. El dinero que el comprador se obliga a dar por la cosa vendida de </w:t>
      </w:r>
      <w:r w:rsidR="00AE6EE1" w:rsidRPr="00E33A7C">
        <w:rPr>
          <w:rFonts w:ascii="Times New Roman" w:hAnsi="Times New Roman" w:cs="Times New Roman"/>
          <w:i/>
          <w:sz w:val="28"/>
          <w:szCs w:val="28"/>
          <w:lang w:val="es-MX"/>
        </w:rPr>
        <w:lastRenderedPageBreak/>
        <w:t>llama precio</w:t>
      </w:r>
      <w:r w:rsidR="00AE6EE1" w:rsidRPr="00E33A7C">
        <w:rPr>
          <w:rFonts w:ascii="Times New Roman" w:hAnsi="Times New Roman" w:cs="Times New Roman"/>
          <w:sz w:val="28"/>
          <w:szCs w:val="28"/>
          <w:lang w:val="es-MX"/>
        </w:rPr>
        <w:t>.</w:t>
      </w:r>
      <w:r w:rsidR="001E5D36" w:rsidRPr="00E33A7C">
        <w:rPr>
          <w:rFonts w:ascii="Times New Roman" w:hAnsi="Times New Roman" w:cs="Times New Roman"/>
          <w:sz w:val="28"/>
          <w:szCs w:val="28"/>
          <w:lang w:val="es-MX"/>
        </w:rPr>
        <w:t xml:space="preserve"> Según el</w:t>
      </w:r>
      <w:r w:rsidR="000F739F" w:rsidRPr="00E33A7C">
        <w:rPr>
          <w:rFonts w:ascii="Times New Roman" w:hAnsi="Times New Roman" w:cs="Times New Roman"/>
          <w:sz w:val="28"/>
          <w:szCs w:val="28"/>
          <w:lang w:val="es-MX"/>
        </w:rPr>
        <w:t xml:space="preserve"> artículo 3 del</w:t>
      </w:r>
      <w:r w:rsidR="001E5D36" w:rsidRPr="00E33A7C">
        <w:rPr>
          <w:rFonts w:ascii="Times New Roman" w:hAnsi="Times New Roman" w:cs="Times New Roman"/>
          <w:sz w:val="28"/>
          <w:szCs w:val="28"/>
          <w:lang w:val="es-MX"/>
        </w:rPr>
        <w:t xml:space="preserve"> C</w:t>
      </w:r>
      <w:r w:rsidR="000F739F" w:rsidRPr="00E33A7C">
        <w:rPr>
          <w:rFonts w:ascii="Times New Roman" w:hAnsi="Times New Roman" w:cs="Times New Roman"/>
          <w:sz w:val="28"/>
          <w:szCs w:val="28"/>
          <w:lang w:val="es-MX"/>
        </w:rPr>
        <w:t xml:space="preserve">ódigo Comercio se entiende por acto de comercio, entre otros, </w:t>
      </w:r>
      <w:r w:rsidR="000F739F" w:rsidRPr="00E33A7C">
        <w:rPr>
          <w:rFonts w:ascii="Times New Roman" w:hAnsi="Times New Roman" w:cs="Times New Roman"/>
          <w:i/>
          <w:sz w:val="28"/>
          <w:szCs w:val="28"/>
          <w:lang w:val="es-MX"/>
        </w:rPr>
        <w:t>la compra o permuta de cosas muebles, hecha con el ánimo de venderlas o permutarlas en la misma forma o en otra distinta; y la reventa o permuta de estas mismas cosas</w:t>
      </w:r>
      <w:r w:rsidR="000F739F" w:rsidRPr="00E33A7C">
        <w:rPr>
          <w:rFonts w:ascii="Times New Roman" w:hAnsi="Times New Roman" w:cs="Times New Roman"/>
          <w:sz w:val="28"/>
          <w:szCs w:val="28"/>
          <w:lang w:val="es-MX"/>
        </w:rPr>
        <w:t xml:space="preserve">. </w:t>
      </w:r>
      <w:r w:rsidR="00CB002B" w:rsidRPr="00E33A7C">
        <w:rPr>
          <w:rFonts w:ascii="Times New Roman" w:hAnsi="Times New Roman" w:cs="Times New Roman"/>
          <w:sz w:val="28"/>
          <w:szCs w:val="28"/>
          <w:lang w:val="es-MX"/>
        </w:rPr>
        <w:t xml:space="preserve">Es importante acotar que  nuestro sistema adhiere  a otros en los cuales se sustenta que la compraventa no es un contrato traslaticio, </w:t>
      </w:r>
      <w:r w:rsidR="00E41A6B" w:rsidRPr="00E33A7C">
        <w:rPr>
          <w:rFonts w:ascii="Times New Roman" w:hAnsi="Times New Roman" w:cs="Times New Roman"/>
          <w:sz w:val="28"/>
          <w:szCs w:val="28"/>
          <w:lang w:val="es-MX"/>
        </w:rPr>
        <w:t xml:space="preserve"> sino </w:t>
      </w:r>
      <w:r w:rsidR="00CB002B" w:rsidRPr="00E33A7C">
        <w:rPr>
          <w:rFonts w:ascii="Times New Roman" w:hAnsi="Times New Roman" w:cs="Times New Roman"/>
          <w:sz w:val="28"/>
          <w:szCs w:val="28"/>
          <w:lang w:val="es-MX"/>
        </w:rPr>
        <w:t>meramente obligatorio</w:t>
      </w:r>
      <w:r w:rsidR="00E41A6B" w:rsidRPr="00E33A7C">
        <w:rPr>
          <w:rFonts w:ascii="Times New Roman" w:hAnsi="Times New Roman" w:cs="Times New Roman"/>
          <w:sz w:val="28"/>
          <w:szCs w:val="28"/>
          <w:lang w:val="es-MX"/>
        </w:rPr>
        <w:t xml:space="preserve">. Rodrigo Uría, al propósito manifiesta: </w:t>
      </w:r>
      <w:r w:rsidR="00E41A6B" w:rsidRPr="00E33A7C">
        <w:rPr>
          <w:rFonts w:ascii="Times New Roman" w:hAnsi="Times New Roman" w:cs="Times New Roman"/>
          <w:i/>
          <w:sz w:val="28"/>
          <w:szCs w:val="28"/>
          <w:lang w:val="es-MX"/>
        </w:rPr>
        <w:t xml:space="preserve">la compraventa no es un contrato traslaticio, </w:t>
      </w:r>
      <w:r w:rsidR="00C84FD4" w:rsidRPr="00E33A7C">
        <w:rPr>
          <w:rFonts w:ascii="Times New Roman" w:hAnsi="Times New Roman" w:cs="Times New Roman"/>
          <w:i/>
          <w:sz w:val="28"/>
          <w:szCs w:val="28"/>
          <w:lang w:val="es-MX"/>
        </w:rPr>
        <w:t xml:space="preserve">sino </w:t>
      </w:r>
      <w:r w:rsidR="00E41A6B" w:rsidRPr="00E33A7C">
        <w:rPr>
          <w:rFonts w:ascii="Times New Roman" w:hAnsi="Times New Roman" w:cs="Times New Roman"/>
          <w:i/>
          <w:sz w:val="28"/>
          <w:szCs w:val="28"/>
          <w:lang w:val="es-MX"/>
        </w:rPr>
        <w:t xml:space="preserve">meramente obligatorio. Obliga al comprador  a entregar  la </w:t>
      </w:r>
      <w:r w:rsidR="007A18D9">
        <w:rPr>
          <w:rFonts w:ascii="Times New Roman" w:hAnsi="Times New Roman" w:cs="Times New Roman"/>
          <w:i/>
          <w:sz w:val="28"/>
          <w:szCs w:val="28"/>
          <w:lang w:val="es-MX"/>
        </w:rPr>
        <w:t>c</w:t>
      </w:r>
      <w:r w:rsidR="00E41A6B" w:rsidRPr="00E33A7C">
        <w:rPr>
          <w:rFonts w:ascii="Times New Roman" w:hAnsi="Times New Roman" w:cs="Times New Roman"/>
          <w:i/>
          <w:sz w:val="28"/>
          <w:szCs w:val="28"/>
          <w:lang w:val="es-MX"/>
        </w:rPr>
        <w:t>osa objeto del contrato, pero no trasmite por sí el dominio de esa  cosa. La propiedad de la cosa comprada sólo se adquiere cuando al contrato</w:t>
      </w:r>
      <w:r w:rsidR="00C84FD4" w:rsidRPr="00E33A7C">
        <w:rPr>
          <w:rFonts w:ascii="Times New Roman" w:hAnsi="Times New Roman" w:cs="Times New Roman"/>
          <w:i/>
          <w:sz w:val="28"/>
          <w:szCs w:val="28"/>
          <w:lang w:val="es-MX"/>
        </w:rPr>
        <w:t xml:space="preserve"> se añade</w:t>
      </w:r>
      <w:r w:rsidR="00E41A6B" w:rsidRPr="00E33A7C">
        <w:rPr>
          <w:rFonts w:ascii="Times New Roman" w:hAnsi="Times New Roman" w:cs="Times New Roman"/>
          <w:i/>
          <w:sz w:val="28"/>
          <w:szCs w:val="28"/>
          <w:lang w:val="es-MX"/>
        </w:rPr>
        <w:t xml:space="preserve"> la tradición de aquélla, es decir, cuando el comprador  toma posesión de la cosa que le entrega el vendedor</w:t>
      </w:r>
      <w:r w:rsidR="00E41A6B" w:rsidRPr="00E33A7C">
        <w:rPr>
          <w:rStyle w:val="FootnoteReference"/>
          <w:rFonts w:ascii="Times New Roman" w:hAnsi="Times New Roman" w:cs="Times New Roman"/>
          <w:sz w:val="28"/>
          <w:szCs w:val="28"/>
          <w:lang w:val="es-MX"/>
        </w:rPr>
        <w:footnoteReference w:id="1"/>
      </w:r>
      <w:r w:rsidR="00C84FD4" w:rsidRPr="00E33A7C">
        <w:rPr>
          <w:rFonts w:ascii="Times New Roman" w:hAnsi="Times New Roman" w:cs="Times New Roman"/>
          <w:sz w:val="28"/>
          <w:szCs w:val="28"/>
          <w:lang w:val="es-MX"/>
        </w:rPr>
        <w:t>.  Las expresiones transcritas son aplicables en su totalidad a nuestro sistema.</w:t>
      </w:r>
    </w:p>
    <w:p w:rsidR="003A10C6" w:rsidRPr="00E33A7C" w:rsidRDefault="003A10C6" w:rsidP="00385A28">
      <w:pPr>
        <w:spacing w:line="360" w:lineRule="auto"/>
        <w:ind w:left="357"/>
        <w:jc w:val="both"/>
        <w:rPr>
          <w:rFonts w:ascii="Times New Roman" w:hAnsi="Times New Roman" w:cs="Times New Roman"/>
          <w:sz w:val="28"/>
          <w:szCs w:val="28"/>
          <w:lang w:val="es-MX"/>
        </w:rPr>
      </w:pPr>
    </w:p>
    <w:p w:rsidR="00144882" w:rsidRPr="00E33A7C" w:rsidRDefault="003A10C6"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Las mercaderías son bienes muebles</w:t>
      </w:r>
      <w:r w:rsidR="009A234D" w:rsidRPr="00E33A7C">
        <w:rPr>
          <w:rFonts w:ascii="Times New Roman" w:hAnsi="Times New Roman" w:cs="Times New Roman"/>
          <w:sz w:val="28"/>
          <w:szCs w:val="28"/>
          <w:lang w:val="es-MX"/>
        </w:rPr>
        <w:t xml:space="preserve"> de naturaleza corporal. Para efectos de </w:t>
      </w:r>
      <w:smartTag w:uri="urn:schemas-microsoft-com:office:smarttags" w:element="PersonName">
        <w:smartTagPr>
          <w:attr w:name="ProductID" w:val="la CV"/>
        </w:smartTagPr>
        <w:r w:rsidR="009A234D" w:rsidRPr="00E33A7C">
          <w:rPr>
            <w:rFonts w:ascii="Times New Roman" w:hAnsi="Times New Roman" w:cs="Times New Roman"/>
            <w:sz w:val="28"/>
            <w:szCs w:val="28"/>
            <w:lang w:val="es-MX"/>
          </w:rPr>
          <w:t>la CV</w:t>
        </w:r>
      </w:smartTag>
      <w:r w:rsidR="009A234D" w:rsidRPr="00E33A7C">
        <w:rPr>
          <w:rFonts w:ascii="Times New Roman" w:hAnsi="Times New Roman" w:cs="Times New Roman"/>
          <w:sz w:val="28"/>
          <w:szCs w:val="28"/>
          <w:lang w:val="es-MX"/>
        </w:rPr>
        <w:t>, así se ha de entender. Respecto de la venta de cosecha futura la naturaleza mueble se ha de exigir al tiempo de la entrega</w:t>
      </w:r>
      <w:r w:rsidR="00747C9E" w:rsidRPr="00E33A7C">
        <w:rPr>
          <w:rFonts w:ascii="Times New Roman" w:hAnsi="Times New Roman" w:cs="Times New Roman"/>
          <w:sz w:val="28"/>
          <w:szCs w:val="28"/>
          <w:lang w:val="es-MX"/>
        </w:rPr>
        <w:t xml:space="preserve"> no a la fecha del contrato.  No se encuentran amparadas por </w:t>
      </w:r>
      <w:smartTag w:uri="urn:schemas-microsoft-com:office:smarttags" w:element="PersonName">
        <w:smartTagPr>
          <w:attr w:name="ProductID" w:val="La Convenci￳n"/>
        </w:smartTagPr>
        <w:r w:rsidR="00747C9E" w:rsidRPr="00E33A7C">
          <w:rPr>
            <w:rFonts w:ascii="Times New Roman" w:hAnsi="Times New Roman" w:cs="Times New Roman"/>
            <w:sz w:val="28"/>
            <w:szCs w:val="28"/>
            <w:lang w:val="es-MX"/>
          </w:rPr>
          <w:t>la Convención</w:t>
        </w:r>
      </w:smartTag>
      <w:r w:rsidR="00B211AC" w:rsidRPr="00E33A7C">
        <w:rPr>
          <w:rFonts w:ascii="Times New Roman" w:hAnsi="Times New Roman" w:cs="Times New Roman"/>
          <w:sz w:val="28"/>
          <w:szCs w:val="28"/>
          <w:lang w:val="es-MX"/>
        </w:rPr>
        <w:t xml:space="preserve"> </w:t>
      </w:r>
      <w:r w:rsidR="00B211AC" w:rsidRPr="00E33A7C">
        <w:rPr>
          <w:rFonts w:ascii="Times New Roman" w:hAnsi="Times New Roman" w:cs="Times New Roman"/>
          <w:i/>
          <w:sz w:val="28"/>
          <w:szCs w:val="28"/>
          <w:lang w:val="es-MX"/>
        </w:rPr>
        <w:t>ab initio</w:t>
      </w:r>
      <w:r w:rsidR="00B211AC" w:rsidRPr="00E33A7C">
        <w:rPr>
          <w:rFonts w:ascii="Times New Roman" w:hAnsi="Times New Roman" w:cs="Times New Roman"/>
          <w:sz w:val="28"/>
          <w:szCs w:val="28"/>
          <w:lang w:val="es-MX"/>
        </w:rPr>
        <w:t>,</w:t>
      </w:r>
      <w:r w:rsidR="00747C9E" w:rsidRPr="00E33A7C">
        <w:rPr>
          <w:rFonts w:ascii="Times New Roman" w:hAnsi="Times New Roman" w:cs="Times New Roman"/>
          <w:sz w:val="28"/>
          <w:szCs w:val="28"/>
          <w:lang w:val="es-MX"/>
        </w:rPr>
        <w:t xml:space="preserve"> </w:t>
      </w:r>
      <w:r w:rsidR="00B211AC" w:rsidRPr="00E33A7C">
        <w:rPr>
          <w:rFonts w:ascii="Times New Roman" w:hAnsi="Times New Roman" w:cs="Times New Roman"/>
          <w:sz w:val="28"/>
          <w:szCs w:val="28"/>
          <w:lang w:val="es-MX"/>
        </w:rPr>
        <w:t xml:space="preserve"> por su propia naturaleza, </w:t>
      </w:r>
      <w:r w:rsidR="00747C9E" w:rsidRPr="00E33A7C">
        <w:rPr>
          <w:rFonts w:ascii="Times New Roman" w:hAnsi="Times New Roman" w:cs="Times New Roman"/>
          <w:sz w:val="28"/>
          <w:szCs w:val="28"/>
          <w:lang w:val="es-MX"/>
        </w:rPr>
        <w:t>la compraventa de empresas, de bienes inmuebles</w:t>
      </w:r>
      <w:r w:rsidR="00B211AC" w:rsidRPr="00E33A7C">
        <w:rPr>
          <w:rFonts w:ascii="Times New Roman" w:hAnsi="Times New Roman" w:cs="Times New Roman"/>
          <w:sz w:val="28"/>
          <w:szCs w:val="28"/>
          <w:lang w:val="es-MX"/>
        </w:rPr>
        <w:t>,</w:t>
      </w:r>
      <w:r w:rsidR="00747C9E" w:rsidRPr="00E33A7C">
        <w:rPr>
          <w:rFonts w:ascii="Times New Roman" w:hAnsi="Times New Roman" w:cs="Times New Roman"/>
          <w:sz w:val="28"/>
          <w:szCs w:val="28"/>
          <w:lang w:val="es-MX"/>
        </w:rPr>
        <w:t xml:space="preserve"> de derecho</w:t>
      </w:r>
      <w:r w:rsidR="00B211AC" w:rsidRPr="00E33A7C">
        <w:rPr>
          <w:rFonts w:ascii="Times New Roman" w:hAnsi="Times New Roman" w:cs="Times New Roman"/>
          <w:sz w:val="28"/>
          <w:szCs w:val="28"/>
          <w:lang w:val="es-MX"/>
        </w:rPr>
        <w:t>s</w:t>
      </w:r>
      <w:r w:rsidR="00747C9E" w:rsidRPr="00E33A7C">
        <w:rPr>
          <w:rFonts w:ascii="Times New Roman" w:hAnsi="Times New Roman" w:cs="Times New Roman"/>
          <w:sz w:val="28"/>
          <w:szCs w:val="28"/>
          <w:lang w:val="es-MX"/>
        </w:rPr>
        <w:t xml:space="preserve"> incorporales</w:t>
      </w:r>
      <w:r w:rsidR="00747C9E" w:rsidRPr="00E33A7C">
        <w:rPr>
          <w:rStyle w:val="FootnoteReference"/>
          <w:rFonts w:ascii="Times New Roman" w:hAnsi="Times New Roman" w:cs="Times New Roman"/>
          <w:sz w:val="28"/>
          <w:szCs w:val="28"/>
          <w:lang w:val="es-MX"/>
        </w:rPr>
        <w:footnoteReference w:id="2"/>
      </w:r>
      <w:r w:rsidR="00747C9E" w:rsidRPr="00E33A7C">
        <w:rPr>
          <w:rFonts w:ascii="Times New Roman" w:hAnsi="Times New Roman" w:cs="Times New Roman"/>
          <w:sz w:val="28"/>
          <w:szCs w:val="28"/>
          <w:lang w:val="es-MX"/>
        </w:rPr>
        <w:t>.</w:t>
      </w:r>
      <w:r w:rsidR="00B211AC" w:rsidRPr="00E33A7C">
        <w:rPr>
          <w:rFonts w:ascii="Times New Roman" w:hAnsi="Times New Roman" w:cs="Times New Roman"/>
          <w:sz w:val="28"/>
          <w:szCs w:val="28"/>
          <w:lang w:val="es-MX"/>
        </w:rPr>
        <w:t xml:space="preserve"> Además se excluyen por </w:t>
      </w:r>
      <w:r w:rsidR="007A18D9">
        <w:rPr>
          <w:rFonts w:ascii="Times New Roman" w:hAnsi="Times New Roman" w:cs="Times New Roman"/>
          <w:sz w:val="28"/>
          <w:szCs w:val="28"/>
          <w:lang w:val="es-MX"/>
        </w:rPr>
        <w:t xml:space="preserve">otras </w:t>
      </w:r>
      <w:r w:rsidR="00B211AC" w:rsidRPr="00E33A7C">
        <w:rPr>
          <w:rFonts w:ascii="Times New Roman" w:hAnsi="Times New Roman" w:cs="Times New Roman"/>
          <w:sz w:val="28"/>
          <w:szCs w:val="28"/>
          <w:lang w:val="es-MX"/>
        </w:rPr>
        <w:t xml:space="preserve"> consideraciones</w:t>
      </w:r>
      <w:r w:rsidR="007A18D9">
        <w:rPr>
          <w:rFonts w:ascii="Times New Roman" w:hAnsi="Times New Roman" w:cs="Times New Roman"/>
          <w:sz w:val="28"/>
          <w:szCs w:val="28"/>
          <w:lang w:val="es-MX"/>
        </w:rPr>
        <w:t>,</w:t>
      </w:r>
      <w:r w:rsidR="00B211AC" w:rsidRPr="00E33A7C">
        <w:rPr>
          <w:rFonts w:ascii="Times New Roman" w:hAnsi="Times New Roman" w:cs="Times New Roman"/>
          <w:sz w:val="28"/>
          <w:szCs w:val="28"/>
          <w:lang w:val="es-MX"/>
        </w:rPr>
        <w:t xml:space="preserve"> otro</w:t>
      </w:r>
      <w:r w:rsidR="007A18D9">
        <w:rPr>
          <w:rFonts w:ascii="Times New Roman" w:hAnsi="Times New Roman" w:cs="Times New Roman"/>
          <w:sz w:val="28"/>
          <w:szCs w:val="28"/>
          <w:lang w:val="es-MX"/>
        </w:rPr>
        <w:t xml:space="preserve"> tipo </w:t>
      </w:r>
      <w:r w:rsidR="00B211AC" w:rsidRPr="00E33A7C">
        <w:rPr>
          <w:rFonts w:ascii="Times New Roman" w:hAnsi="Times New Roman" w:cs="Times New Roman"/>
          <w:sz w:val="28"/>
          <w:szCs w:val="28"/>
          <w:lang w:val="es-MX"/>
        </w:rPr>
        <w:t xml:space="preserve"> de mercaderías. Bien cabe aseverar que </w:t>
      </w:r>
      <w:smartTag w:uri="urn:schemas-microsoft-com:office:smarttags" w:element="PersonName">
        <w:smartTagPr>
          <w:attr w:name="ProductID" w:val="la CV"/>
        </w:smartTagPr>
        <w:r w:rsidR="00B211AC" w:rsidRPr="00E33A7C">
          <w:rPr>
            <w:rFonts w:ascii="Times New Roman" w:hAnsi="Times New Roman" w:cs="Times New Roman"/>
            <w:sz w:val="28"/>
            <w:szCs w:val="28"/>
            <w:lang w:val="es-MX"/>
          </w:rPr>
          <w:t>la CV</w:t>
        </w:r>
      </w:smartTag>
      <w:r w:rsidR="00B211AC" w:rsidRPr="00E33A7C">
        <w:rPr>
          <w:rFonts w:ascii="Times New Roman" w:hAnsi="Times New Roman" w:cs="Times New Roman"/>
          <w:sz w:val="28"/>
          <w:szCs w:val="28"/>
          <w:lang w:val="es-MX"/>
        </w:rPr>
        <w:t xml:space="preserve"> no </w:t>
      </w:r>
      <w:r w:rsidR="007A18D9">
        <w:rPr>
          <w:rFonts w:ascii="Times New Roman" w:hAnsi="Times New Roman" w:cs="Times New Roman"/>
          <w:sz w:val="28"/>
          <w:szCs w:val="28"/>
          <w:lang w:val="es-MX"/>
        </w:rPr>
        <w:t>se aplic</w:t>
      </w:r>
      <w:r w:rsidR="00B211AC" w:rsidRPr="00E33A7C">
        <w:rPr>
          <w:rFonts w:ascii="Times New Roman" w:hAnsi="Times New Roman" w:cs="Times New Roman"/>
          <w:sz w:val="28"/>
          <w:szCs w:val="28"/>
          <w:lang w:val="es-MX"/>
        </w:rPr>
        <w:t>a</w:t>
      </w:r>
      <w:r w:rsidR="007A18D9">
        <w:rPr>
          <w:rFonts w:ascii="Times New Roman" w:hAnsi="Times New Roman" w:cs="Times New Roman"/>
          <w:sz w:val="28"/>
          <w:szCs w:val="28"/>
          <w:lang w:val="es-MX"/>
        </w:rPr>
        <w:t xml:space="preserve"> a </w:t>
      </w:r>
      <w:r w:rsidR="00B211AC" w:rsidRPr="00E33A7C">
        <w:rPr>
          <w:rFonts w:ascii="Times New Roman" w:hAnsi="Times New Roman" w:cs="Times New Roman"/>
          <w:sz w:val="28"/>
          <w:szCs w:val="28"/>
          <w:lang w:val="es-MX"/>
        </w:rPr>
        <w:t xml:space="preserve"> varios grupos de mercaderías que ella misma señala.</w:t>
      </w:r>
    </w:p>
    <w:p w:rsidR="00144882" w:rsidRPr="00E33A7C" w:rsidRDefault="00144882" w:rsidP="00385A28">
      <w:pPr>
        <w:spacing w:line="360" w:lineRule="auto"/>
        <w:ind w:left="357"/>
        <w:jc w:val="both"/>
        <w:rPr>
          <w:rFonts w:ascii="Times New Roman" w:hAnsi="Times New Roman" w:cs="Times New Roman"/>
          <w:sz w:val="28"/>
          <w:szCs w:val="28"/>
          <w:lang w:val="es-MX"/>
        </w:rPr>
      </w:pPr>
    </w:p>
    <w:p w:rsidR="00C84FD4" w:rsidRPr="00E33A7C" w:rsidRDefault="00144882"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discernir cuándo un contrato es internacional tiene importancia capital. Es una cuestión de carácter general que atiene a todos los </w:t>
      </w:r>
      <w:r w:rsidRPr="00E33A7C">
        <w:rPr>
          <w:rFonts w:ascii="Times New Roman" w:hAnsi="Times New Roman" w:cs="Times New Roman"/>
          <w:sz w:val="28"/>
          <w:szCs w:val="28"/>
          <w:lang w:val="es-MX"/>
        </w:rPr>
        <w:lastRenderedPageBreak/>
        <w:t xml:space="preserve">contratos y que, desde una perspectiva general, se encuentra afrontada por </w:t>
      </w:r>
      <w:smartTag w:uri="urn:schemas-microsoft-com:office:smarttags" w:element="PersonName">
        <w:smartTagPr>
          <w:attr w:name="ProductID" w:val="la Convenciones"/>
        </w:smartTagPr>
        <w:r w:rsidRPr="00E33A7C">
          <w:rPr>
            <w:rFonts w:ascii="Times New Roman" w:hAnsi="Times New Roman" w:cs="Times New Roman"/>
            <w:sz w:val="28"/>
            <w:szCs w:val="28"/>
            <w:lang w:val="es-MX"/>
          </w:rPr>
          <w:t>la Convenciones</w:t>
        </w:r>
      </w:smartTag>
      <w:r w:rsidRPr="00E33A7C">
        <w:rPr>
          <w:rFonts w:ascii="Times New Roman" w:hAnsi="Times New Roman" w:cs="Times New Roman"/>
          <w:sz w:val="28"/>
          <w:szCs w:val="28"/>
          <w:lang w:val="es-MX"/>
        </w:rPr>
        <w:t xml:space="preserve"> de Roma de 1980 y de México de 1994 las que tienen alcance territorial limitado y a las que se han adherido pocos estados.</w:t>
      </w:r>
    </w:p>
    <w:p w:rsidR="00144882" w:rsidRPr="00E33A7C" w:rsidRDefault="00144882" w:rsidP="00385A28">
      <w:pPr>
        <w:spacing w:line="360" w:lineRule="auto"/>
        <w:ind w:left="357"/>
        <w:jc w:val="both"/>
        <w:rPr>
          <w:rFonts w:ascii="Times New Roman" w:hAnsi="Times New Roman" w:cs="Times New Roman"/>
          <w:sz w:val="28"/>
          <w:szCs w:val="28"/>
          <w:lang w:val="es-MX"/>
        </w:rPr>
      </w:pPr>
    </w:p>
    <w:p w:rsidR="00144882" w:rsidRPr="00E33A7C" w:rsidRDefault="00144882" w:rsidP="00385A28">
      <w:pPr>
        <w:spacing w:line="360" w:lineRule="auto"/>
        <w:ind w:left="357"/>
        <w:jc w:val="both"/>
        <w:rPr>
          <w:rFonts w:ascii="Times New Roman" w:hAnsi="Times New Roman" w:cs="Times New Roman"/>
          <w:sz w:val="28"/>
          <w:szCs w:val="28"/>
          <w:lang w:val="es-MX"/>
        </w:rPr>
      </w:p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007F457C" w:rsidRPr="00E33A7C">
        <w:rPr>
          <w:rFonts w:ascii="Times New Roman" w:hAnsi="Times New Roman" w:cs="Times New Roman"/>
          <w:sz w:val="28"/>
          <w:szCs w:val="28"/>
          <w:lang w:val="es-MX"/>
        </w:rPr>
        <w:t xml:space="preserve"> en su primer artículo  sienta el postulado de se la ha de aplicar   a  contratos de compraventa de mercaderías  entre partes que tengan establecimientos en Estados diferentes</w:t>
      </w:r>
      <w:r w:rsidR="00257583" w:rsidRPr="00E33A7C">
        <w:rPr>
          <w:rFonts w:ascii="Times New Roman" w:hAnsi="Times New Roman" w:cs="Times New Roman"/>
          <w:sz w:val="28"/>
          <w:szCs w:val="28"/>
          <w:lang w:val="es-MX"/>
        </w:rPr>
        <w:t xml:space="preserve"> sin que importe la nacionalidad de las partes, ni el carácter civil o comercial de las mismas o del contrato. Si una de las partes tiene más de un establecimiento, será tomado en cuenta el que tenga más relación con el contrato de que se trate. Si una de las partes no tiene establecimiento, se tendrá en cuenta su residencia habitual</w:t>
      </w:r>
      <w:r w:rsidR="007F457C" w:rsidRPr="00E33A7C">
        <w:rPr>
          <w:rFonts w:ascii="Times New Roman" w:hAnsi="Times New Roman" w:cs="Times New Roman"/>
          <w:sz w:val="28"/>
          <w:szCs w:val="28"/>
          <w:lang w:val="es-MX"/>
        </w:rPr>
        <w:t>.</w:t>
      </w:r>
      <w:r w:rsidR="00154456" w:rsidRPr="00E33A7C">
        <w:rPr>
          <w:rFonts w:ascii="Times New Roman" w:hAnsi="Times New Roman" w:cs="Times New Roman"/>
          <w:sz w:val="28"/>
          <w:szCs w:val="28"/>
          <w:lang w:val="es-MX"/>
        </w:rPr>
        <w:t xml:space="preserve"> Es indiferente para que  una compraventa sea considerada internacional el lugar de la conclusión del contrato, el lugar donde estén situadas las mercaderías o el lugar al que deban  ser transportadas para su entrega. Supletoriamente en el caso de que no existan o no se conozcan los establecimientos permanentes, debería aplicarse los métodos propios de las leyes en conflicto</w:t>
      </w:r>
      <w:r w:rsidR="00154456" w:rsidRPr="00E33A7C">
        <w:rPr>
          <w:rStyle w:val="FootnoteReference"/>
          <w:rFonts w:ascii="Times New Roman" w:hAnsi="Times New Roman" w:cs="Times New Roman"/>
          <w:sz w:val="28"/>
          <w:szCs w:val="28"/>
          <w:lang w:val="es-MX"/>
        </w:rPr>
        <w:footnoteReference w:id="3"/>
      </w:r>
      <w:r w:rsidR="00154456" w:rsidRPr="00E33A7C">
        <w:rPr>
          <w:rFonts w:ascii="Times New Roman" w:hAnsi="Times New Roman" w:cs="Times New Roman"/>
          <w:sz w:val="28"/>
          <w:szCs w:val="28"/>
          <w:lang w:val="es-MX"/>
        </w:rPr>
        <w:t>. Cuando el establecimiento de los sujetos no se encuentre</w:t>
      </w:r>
      <w:r w:rsidR="00577B7D" w:rsidRPr="00E33A7C">
        <w:rPr>
          <w:rFonts w:ascii="Times New Roman" w:hAnsi="Times New Roman" w:cs="Times New Roman"/>
          <w:sz w:val="28"/>
          <w:szCs w:val="28"/>
          <w:lang w:val="es-MX"/>
        </w:rPr>
        <w:t xml:space="preserve"> ubicado en estados diferentes no se aplicará directamente </w:t>
      </w:r>
      <w:smartTag w:uri="urn:schemas-microsoft-com:office:smarttags" w:element="PersonName">
        <w:smartTagPr>
          <w:attr w:name="ProductID" w:val="la CV"/>
        </w:smartTagPr>
        <w:r w:rsidR="00577B7D" w:rsidRPr="00E33A7C">
          <w:rPr>
            <w:rFonts w:ascii="Times New Roman" w:hAnsi="Times New Roman" w:cs="Times New Roman"/>
            <w:sz w:val="28"/>
            <w:szCs w:val="28"/>
            <w:lang w:val="es-MX"/>
          </w:rPr>
          <w:t>la CV</w:t>
        </w:r>
      </w:smartTag>
      <w:r w:rsidR="00577B7D" w:rsidRPr="00E33A7C">
        <w:rPr>
          <w:rFonts w:ascii="Times New Roman" w:hAnsi="Times New Roman" w:cs="Times New Roman"/>
          <w:sz w:val="28"/>
          <w:szCs w:val="28"/>
          <w:lang w:val="es-MX"/>
        </w:rPr>
        <w:t>, la cual al caso dispone que deba aplicarse el ordenamiento nacional designado por las reglas en conflicto del tribunal competente</w:t>
      </w:r>
      <w:r w:rsidR="007B512F" w:rsidRPr="00E33A7C">
        <w:rPr>
          <w:rStyle w:val="FootnoteReference"/>
          <w:rFonts w:ascii="Times New Roman" w:hAnsi="Times New Roman" w:cs="Times New Roman"/>
          <w:sz w:val="28"/>
          <w:szCs w:val="28"/>
          <w:lang w:val="es-MX"/>
        </w:rPr>
        <w:footnoteReference w:id="4"/>
      </w:r>
      <w:r w:rsidR="007B512F" w:rsidRPr="00E33A7C">
        <w:rPr>
          <w:rFonts w:ascii="Times New Roman" w:hAnsi="Times New Roman" w:cs="Times New Roman"/>
          <w:sz w:val="28"/>
          <w:szCs w:val="28"/>
          <w:lang w:val="es-MX"/>
        </w:rPr>
        <w:t>.</w:t>
      </w:r>
    </w:p>
    <w:p w:rsidR="006E5A05" w:rsidRPr="00E33A7C" w:rsidRDefault="006E5A05" w:rsidP="00385A28">
      <w:pPr>
        <w:spacing w:line="360" w:lineRule="auto"/>
        <w:ind w:left="357"/>
        <w:jc w:val="both"/>
        <w:rPr>
          <w:rFonts w:ascii="Times New Roman" w:hAnsi="Times New Roman" w:cs="Times New Roman"/>
          <w:sz w:val="28"/>
          <w:szCs w:val="28"/>
          <w:lang w:val="es-MX"/>
        </w:rPr>
      </w:pPr>
    </w:p>
    <w:p w:rsidR="006E5A05" w:rsidRPr="00E33A7C" w:rsidRDefault="006E5A05"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2. </w:t>
      </w:r>
      <w:r w:rsidR="00C1518C" w:rsidRPr="00E33A7C">
        <w:rPr>
          <w:rFonts w:ascii="Times New Roman" w:hAnsi="Times New Roman" w:cs="Times New Roman"/>
          <w:sz w:val="28"/>
          <w:szCs w:val="28"/>
          <w:lang w:val="es-MX"/>
        </w:rPr>
        <w:t xml:space="preserve">La compraventa internacional de mercaderías regulada por </w:t>
      </w:r>
      <w:smartTag w:uri="urn:schemas-microsoft-com:office:smarttags" w:element="PersonName">
        <w:smartTagPr>
          <w:attr w:name="ProductID" w:val="la CV"/>
        </w:smartTagPr>
        <w:r w:rsidR="00C1518C" w:rsidRPr="00E33A7C">
          <w:rPr>
            <w:rFonts w:ascii="Times New Roman" w:hAnsi="Times New Roman" w:cs="Times New Roman"/>
            <w:sz w:val="28"/>
            <w:szCs w:val="28"/>
            <w:lang w:val="es-MX"/>
          </w:rPr>
          <w:t>la CV</w:t>
        </w:r>
      </w:smartTag>
      <w:r w:rsidR="00C1518C" w:rsidRPr="00E33A7C">
        <w:rPr>
          <w:rFonts w:ascii="Times New Roman" w:hAnsi="Times New Roman" w:cs="Times New Roman"/>
          <w:sz w:val="28"/>
          <w:szCs w:val="28"/>
          <w:lang w:val="es-MX"/>
        </w:rPr>
        <w:t xml:space="preserve"> tiene naturaleza </w:t>
      </w:r>
      <w:r w:rsidR="00C1518C" w:rsidRPr="00E33A7C">
        <w:rPr>
          <w:rFonts w:ascii="Times New Roman" w:hAnsi="Times New Roman" w:cs="Times New Roman"/>
          <w:i/>
          <w:sz w:val="28"/>
          <w:szCs w:val="28"/>
          <w:lang w:val="es-MX"/>
        </w:rPr>
        <w:t>sui generis</w:t>
      </w:r>
      <w:r w:rsidR="00C1518C" w:rsidRPr="00E33A7C">
        <w:rPr>
          <w:rFonts w:ascii="Times New Roman" w:hAnsi="Times New Roman" w:cs="Times New Roman"/>
          <w:sz w:val="28"/>
          <w:szCs w:val="28"/>
          <w:lang w:val="es-MX"/>
        </w:rPr>
        <w:t xml:space="preserve">, pues, no calza en las figuras civil o mercantil, que rige en los  países que regulan los dos tipos de </w:t>
      </w:r>
      <w:r w:rsidR="00C1518C" w:rsidRPr="00E33A7C">
        <w:rPr>
          <w:rFonts w:ascii="Times New Roman" w:hAnsi="Times New Roman" w:cs="Times New Roman"/>
          <w:sz w:val="28"/>
          <w:szCs w:val="28"/>
          <w:lang w:val="es-MX"/>
        </w:rPr>
        <w:lastRenderedPageBreak/>
        <w:t xml:space="preserve">compraventa. Tampoco calza en la de aquéllos países que regulan un solo tipo de compraventa. </w:t>
      </w:r>
      <w:smartTag w:uri="urn:schemas-microsoft-com:office:smarttags" w:element="PersonName">
        <w:smartTagPr>
          <w:attr w:name="ProductID" w:val="la CV"/>
        </w:smartTagPr>
        <w:r w:rsidR="00C1518C" w:rsidRPr="00E33A7C">
          <w:rPr>
            <w:rFonts w:ascii="Times New Roman" w:hAnsi="Times New Roman" w:cs="Times New Roman"/>
            <w:sz w:val="28"/>
            <w:szCs w:val="28"/>
            <w:lang w:val="es-MX"/>
          </w:rPr>
          <w:t>La CV</w:t>
        </w:r>
      </w:smartTag>
      <w:r w:rsidR="00C1518C" w:rsidRPr="00E33A7C">
        <w:rPr>
          <w:rFonts w:ascii="Times New Roman" w:hAnsi="Times New Roman" w:cs="Times New Roman"/>
          <w:sz w:val="28"/>
          <w:szCs w:val="28"/>
          <w:lang w:val="es-MX"/>
        </w:rPr>
        <w:t xml:space="preserve"> ha construido  una figura de perfiles particulares definida en varias disposiciones inclusivas de determinadas transacciones y excluyentes de otras.</w:t>
      </w:r>
      <w:r w:rsidR="007D586C" w:rsidRPr="00E33A7C">
        <w:rPr>
          <w:rFonts w:ascii="Times New Roman" w:hAnsi="Times New Roman" w:cs="Times New Roman"/>
          <w:sz w:val="28"/>
          <w:szCs w:val="28"/>
          <w:lang w:val="es-MX"/>
        </w:rPr>
        <w:t xml:space="preserve"> De este modo se ha creado un derecho material de aplicación directa que prevalece, por lo general, sobre los derechos internos.</w:t>
      </w:r>
    </w:p>
    <w:p w:rsidR="007D586C" w:rsidRPr="00E33A7C" w:rsidRDefault="007D586C" w:rsidP="00385A28">
      <w:pPr>
        <w:spacing w:line="360" w:lineRule="auto"/>
        <w:ind w:left="357"/>
        <w:jc w:val="both"/>
        <w:rPr>
          <w:rFonts w:ascii="Times New Roman" w:hAnsi="Times New Roman" w:cs="Times New Roman"/>
          <w:sz w:val="28"/>
          <w:szCs w:val="28"/>
          <w:lang w:val="es-MX"/>
        </w:rPr>
      </w:pPr>
    </w:p>
    <w:p w:rsidR="007D586C" w:rsidRPr="00E33A7C" w:rsidRDefault="004F6E54"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Al no existir una definición, </w:t>
      </w:r>
      <w:r w:rsidR="007D586C" w:rsidRPr="00E33A7C">
        <w:rPr>
          <w:rFonts w:ascii="Times New Roman" w:hAnsi="Times New Roman" w:cs="Times New Roman"/>
          <w:sz w:val="28"/>
          <w:szCs w:val="28"/>
          <w:lang w:val="es-MX"/>
        </w:rPr>
        <w:t>Calvo Caravaca avanza un</w:t>
      </w:r>
      <w:r w:rsidRPr="00E33A7C">
        <w:rPr>
          <w:rFonts w:ascii="Times New Roman" w:hAnsi="Times New Roman" w:cs="Times New Roman"/>
          <w:sz w:val="28"/>
          <w:szCs w:val="28"/>
          <w:lang w:val="es-MX"/>
        </w:rPr>
        <w:t>a</w:t>
      </w:r>
      <w:r w:rsidR="007D586C" w:rsidRPr="00E33A7C">
        <w:rPr>
          <w:rFonts w:ascii="Times New Roman" w:hAnsi="Times New Roman" w:cs="Times New Roman"/>
          <w:sz w:val="28"/>
          <w:szCs w:val="28"/>
          <w:lang w:val="es-MX"/>
        </w:rPr>
        <w:t xml:space="preserve"> en base  a lo que </w:t>
      </w:r>
      <w:smartTag w:uri="urn:schemas-microsoft-com:office:smarttags" w:element="PersonName">
        <w:smartTagPr>
          <w:attr w:name="ProductID" w:val="la CV"/>
        </w:smartTagPr>
        <w:r w:rsidR="007D586C"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estatuye respecto de las obligaciones  del vendedor y del comprador. Dice, </w:t>
      </w:r>
      <w:r w:rsidRPr="00E33A7C">
        <w:rPr>
          <w:rFonts w:ascii="Times New Roman" w:hAnsi="Times New Roman" w:cs="Times New Roman"/>
          <w:i/>
          <w:sz w:val="28"/>
          <w:szCs w:val="28"/>
          <w:lang w:val="es-MX"/>
        </w:rPr>
        <w:t>que por compraventa se entiende el contrato sinalagmático en virtud del cual una parte entrega a otra la propiedad de una mercadería a cambio del pago de un precio</w:t>
      </w:r>
      <w:r w:rsidRPr="00E33A7C">
        <w:rPr>
          <w:rFonts w:ascii="Times New Roman" w:hAnsi="Times New Roman" w:cs="Times New Roman"/>
          <w:sz w:val="28"/>
          <w:szCs w:val="28"/>
          <w:lang w:val="es-MX"/>
        </w:rPr>
        <w:t xml:space="preserve">. Añade otra definición y asevera que  es </w:t>
      </w:r>
      <w:r w:rsidRPr="00E33A7C">
        <w:rPr>
          <w:rFonts w:ascii="Times New Roman" w:hAnsi="Times New Roman" w:cs="Times New Roman"/>
          <w:i/>
          <w:sz w:val="28"/>
          <w:szCs w:val="28"/>
          <w:lang w:val="es-MX"/>
        </w:rPr>
        <w:t>aquel contrato que tiene por causa el intercambio de medios de pago usuales generalmente aceptados y la transmisión y apropiamiento de bienes</w:t>
      </w:r>
      <w:r w:rsidRPr="00E33A7C">
        <w:rPr>
          <w:rStyle w:val="FootnoteReference"/>
          <w:rFonts w:ascii="Times New Roman" w:hAnsi="Times New Roman" w:cs="Times New Roman"/>
          <w:i/>
          <w:sz w:val="28"/>
          <w:szCs w:val="28"/>
          <w:lang w:val="es-MX"/>
        </w:rPr>
        <w:footnoteReference w:id="5"/>
      </w:r>
      <w:r w:rsidRPr="00E33A7C">
        <w:rPr>
          <w:rFonts w:ascii="Times New Roman" w:hAnsi="Times New Roman" w:cs="Times New Roman"/>
          <w:i/>
          <w:sz w:val="28"/>
          <w:szCs w:val="28"/>
          <w:lang w:val="es-MX"/>
        </w:rPr>
        <w:t>.</w:t>
      </w:r>
      <w:r w:rsidR="008D6253" w:rsidRPr="00E33A7C">
        <w:rPr>
          <w:rFonts w:ascii="Times New Roman" w:hAnsi="Times New Roman" w:cs="Times New Roman"/>
          <w:sz w:val="28"/>
          <w:szCs w:val="28"/>
          <w:lang w:val="es-MX"/>
        </w:rPr>
        <w:t xml:space="preserve"> La definición demuestra que la compraventa de </w:t>
      </w:r>
      <w:smartTag w:uri="urn:schemas-microsoft-com:office:smarttags" w:element="PersonName">
        <w:smartTagPr>
          <w:attr w:name="ProductID" w:val="la CV"/>
        </w:smartTagPr>
        <w:r w:rsidR="008D6253" w:rsidRPr="00E33A7C">
          <w:rPr>
            <w:rFonts w:ascii="Times New Roman" w:hAnsi="Times New Roman" w:cs="Times New Roman"/>
            <w:sz w:val="28"/>
            <w:szCs w:val="28"/>
            <w:lang w:val="es-MX"/>
          </w:rPr>
          <w:t>la CV</w:t>
        </w:r>
      </w:smartTag>
      <w:r w:rsidR="008D6253" w:rsidRPr="00E33A7C">
        <w:rPr>
          <w:rFonts w:ascii="Times New Roman" w:hAnsi="Times New Roman" w:cs="Times New Roman"/>
          <w:sz w:val="28"/>
          <w:szCs w:val="28"/>
          <w:lang w:val="es-MX"/>
        </w:rPr>
        <w:t xml:space="preserve"> no es puramente obligacional sino traslaticia, en contraste  a lo que manifiesta Uría, antes aludido.</w:t>
      </w:r>
      <w:r w:rsidR="000C76DF" w:rsidRPr="00E33A7C">
        <w:rPr>
          <w:rFonts w:ascii="Times New Roman" w:hAnsi="Times New Roman" w:cs="Times New Roman"/>
          <w:sz w:val="28"/>
          <w:szCs w:val="28"/>
          <w:lang w:val="es-MX"/>
        </w:rPr>
        <w:t xml:space="preserve"> En efecto, los artículos 30 y 53 de </w:t>
      </w:r>
      <w:smartTag w:uri="urn:schemas-microsoft-com:office:smarttags" w:element="PersonName">
        <w:smartTagPr>
          <w:attr w:name="ProductID" w:val="la CV"/>
        </w:smartTagPr>
        <w:r w:rsidR="000C76DF" w:rsidRPr="00E33A7C">
          <w:rPr>
            <w:rFonts w:ascii="Times New Roman" w:hAnsi="Times New Roman" w:cs="Times New Roman"/>
            <w:sz w:val="28"/>
            <w:szCs w:val="28"/>
            <w:lang w:val="es-MX"/>
          </w:rPr>
          <w:t>la CV</w:t>
        </w:r>
      </w:smartTag>
      <w:r w:rsidR="000C76DF" w:rsidRPr="00E33A7C">
        <w:rPr>
          <w:rFonts w:ascii="Times New Roman" w:hAnsi="Times New Roman" w:cs="Times New Roman"/>
          <w:sz w:val="28"/>
          <w:szCs w:val="28"/>
          <w:lang w:val="es-MX"/>
        </w:rPr>
        <w:t xml:space="preserve">, respecto del vendedor y el comprador, en su orden contemplan que el primero debe entregar las mercaderías y transmitir su propiedad y que el comprador deberá pagar el precio de las mercaderías y recibirlas. No ocurre que el vendedor se compromete a entregar las mercaderías y el vendedor se compromete a pagar el precio. </w:t>
      </w:r>
    </w:p>
    <w:p w:rsidR="00645704" w:rsidRPr="00E33A7C" w:rsidRDefault="00645704" w:rsidP="00385A28">
      <w:pPr>
        <w:spacing w:line="360" w:lineRule="auto"/>
        <w:ind w:left="357"/>
        <w:jc w:val="both"/>
        <w:rPr>
          <w:rFonts w:ascii="Times New Roman" w:hAnsi="Times New Roman" w:cs="Times New Roman"/>
          <w:sz w:val="28"/>
          <w:szCs w:val="28"/>
          <w:lang w:val="es-MX"/>
        </w:rPr>
      </w:pPr>
    </w:p>
    <w:p w:rsidR="00645704" w:rsidRPr="00E33A7C" w:rsidRDefault="00645704"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Al no existir una definición en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es necesario realizar una aproximación negativa dejando fuera una serie actividades que en otros</w:t>
      </w:r>
      <w:r w:rsidR="007A18D9">
        <w:rPr>
          <w:rFonts w:ascii="Times New Roman" w:hAnsi="Times New Roman" w:cs="Times New Roman"/>
          <w:sz w:val="28"/>
          <w:szCs w:val="28"/>
          <w:lang w:val="es-MX"/>
        </w:rPr>
        <w:t xml:space="preserve"> casos</w:t>
      </w:r>
      <w:r w:rsidRPr="00E33A7C">
        <w:rPr>
          <w:rFonts w:ascii="Times New Roman" w:hAnsi="Times New Roman" w:cs="Times New Roman"/>
          <w:sz w:val="28"/>
          <w:szCs w:val="28"/>
          <w:lang w:val="es-MX"/>
        </w:rPr>
        <w:t xml:space="preserve"> se tendrían como compraventas. De esta aproximación negativa </w:t>
      </w:r>
      <w:r w:rsidRPr="00E33A7C">
        <w:rPr>
          <w:rFonts w:ascii="Times New Roman" w:hAnsi="Times New Roman" w:cs="Times New Roman"/>
          <w:sz w:val="28"/>
          <w:szCs w:val="28"/>
          <w:lang w:val="es-MX"/>
        </w:rPr>
        <w:lastRenderedPageBreak/>
        <w:t>tratan Forner, Garriga y Parra</w:t>
      </w:r>
      <w:r w:rsidRPr="00E33A7C">
        <w:rPr>
          <w:rStyle w:val="FootnoteReference"/>
          <w:rFonts w:ascii="Times New Roman" w:hAnsi="Times New Roman" w:cs="Times New Roman"/>
          <w:sz w:val="28"/>
          <w:szCs w:val="28"/>
          <w:lang w:val="es-MX"/>
        </w:rPr>
        <w:footnoteReference w:id="6"/>
      </w:r>
      <w:r w:rsidR="00BD153B" w:rsidRPr="00E33A7C">
        <w:rPr>
          <w:rFonts w:ascii="Times New Roman" w:hAnsi="Times New Roman" w:cs="Times New Roman"/>
          <w:sz w:val="28"/>
          <w:szCs w:val="28"/>
          <w:lang w:val="es-MX"/>
        </w:rPr>
        <w:t xml:space="preserve">. Es necesario, por tanto, precisar qué incluye y qué excluye </w:t>
      </w:r>
      <w:smartTag w:uri="urn:schemas-microsoft-com:office:smarttags" w:element="PersonName">
        <w:smartTagPr>
          <w:attr w:name="ProductID" w:val="la CV."/>
        </w:smartTagPr>
        <w:r w:rsidR="00BD153B" w:rsidRPr="00E33A7C">
          <w:rPr>
            <w:rFonts w:ascii="Times New Roman" w:hAnsi="Times New Roman" w:cs="Times New Roman"/>
            <w:sz w:val="28"/>
            <w:szCs w:val="28"/>
            <w:lang w:val="es-MX"/>
          </w:rPr>
          <w:t>la CV.</w:t>
        </w:r>
      </w:smartTag>
    </w:p>
    <w:p w:rsidR="00BD153B" w:rsidRPr="00E33A7C" w:rsidRDefault="00BD153B" w:rsidP="00385A28">
      <w:pPr>
        <w:spacing w:line="360" w:lineRule="auto"/>
        <w:ind w:left="357"/>
        <w:jc w:val="both"/>
        <w:rPr>
          <w:rFonts w:ascii="Times New Roman" w:hAnsi="Times New Roman" w:cs="Times New Roman"/>
          <w:sz w:val="28"/>
          <w:szCs w:val="28"/>
          <w:lang w:val="es-MX"/>
        </w:rPr>
      </w:pPr>
    </w:p>
    <w:p w:rsidR="003C550A" w:rsidRPr="00E33A7C" w:rsidRDefault="00BD153B"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3.</w:t>
      </w:r>
      <w:r w:rsidR="00730C49" w:rsidRPr="00E33A7C">
        <w:rPr>
          <w:rFonts w:ascii="Times New Roman" w:hAnsi="Times New Roman" w:cs="Times New Roman"/>
          <w:sz w:val="28"/>
          <w:szCs w:val="28"/>
          <w:lang w:val="es-MX"/>
        </w:rPr>
        <w:t xml:space="preserve"> Al no ser mercaderías se encuentran excluidos los bienes   inmuebles y los bienes incorporales tales los servicios y los derechos de propiedad intelectual. El artículo 2 de </w:t>
      </w:r>
      <w:smartTag w:uri="urn:schemas-microsoft-com:office:smarttags" w:element="PersonName">
        <w:smartTagPr>
          <w:attr w:name="ProductID" w:val="la CV"/>
        </w:smartTagPr>
        <w:r w:rsidR="00730C49" w:rsidRPr="00E33A7C">
          <w:rPr>
            <w:rFonts w:ascii="Times New Roman" w:hAnsi="Times New Roman" w:cs="Times New Roman"/>
            <w:sz w:val="28"/>
            <w:szCs w:val="28"/>
            <w:lang w:val="es-MX"/>
          </w:rPr>
          <w:t>la CV</w:t>
        </w:r>
      </w:smartTag>
      <w:r w:rsidR="00730C49" w:rsidRPr="00E33A7C">
        <w:rPr>
          <w:rFonts w:ascii="Times New Roman" w:hAnsi="Times New Roman" w:cs="Times New Roman"/>
          <w:sz w:val="28"/>
          <w:szCs w:val="28"/>
          <w:lang w:val="es-MX"/>
        </w:rPr>
        <w:t xml:space="preserve"> dice que será aplicable a las mercaderías para uso personal, familiar o doméstico, salvo que el vendedor no hubiese conocido previamente el destino de las mismas; las adquiridas en subastas; la de carácter judicial; los valores mobiliarios, t</w:t>
      </w:r>
      <w:r w:rsidR="00CF6C14" w:rsidRPr="00E33A7C">
        <w:rPr>
          <w:rFonts w:ascii="Times New Roman" w:hAnsi="Times New Roman" w:cs="Times New Roman"/>
          <w:sz w:val="28"/>
          <w:szCs w:val="28"/>
          <w:lang w:val="es-MX"/>
        </w:rPr>
        <w:t xml:space="preserve">ítulos o efectos de comercio y dinero; buques, embarcaciones, aerodeslizadores y aeronaves; electricidad. De su parte, el artículo 3 de </w:t>
      </w:r>
      <w:smartTag w:uri="urn:schemas-microsoft-com:office:smarttags" w:element="PersonName">
        <w:smartTagPr>
          <w:attr w:name="ProductID" w:val="la CV"/>
        </w:smartTagPr>
        <w:r w:rsidR="00CF6C14" w:rsidRPr="00E33A7C">
          <w:rPr>
            <w:rFonts w:ascii="Times New Roman" w:hAnsi="Times New Roman" w:cs="Times New Roman"/>
            <w:sz w:val="28"/>
            <w:szCs w:val="28"/>
            <w:lang w:val="es-MX"/>
          </w:rPr>
          <w:t>la CV</w:t>
        </w:r>
      </w:smartTag>
      <w:r w:rsidR="00CF6C14" w:rsidRPr="00E33A7C">
        <w:rPr>
          <w:rFonts w:ascii="Times New Roman" w:hAnsi="Times New Roman" w:cs="Times New Roman"/>
          <w:sz w:val="28"/>
          <w:szCs w:val="28"/>
          <w:lang w:val="es-MX"/>
        </w:rPr>
        <w:t xml:space="preserve"> prevé que se incluyen los contratos de suministro de mercaderías que vayan a ser manufacturadas o producidas, a menos que  la  parte que las encargue asuma la obligaci</w:t>
      </w:r>
      <w:r w:rsidR="003C550A" w:rsidRPr="00E33A7C">
        <w:rPr>
          <w:rFonts w:ascii="Times New Roman" w:hAnsi="Times New Roman" w:cs="Times New Roman"/>
          <w:sz w:val="28"/>
          <w:szCs w:val="28"/>
          <w:lang w:val="es-MX"/>
        </w:rPr>
        <w:t xml:space="preserve">ón de proporcionar una porción sustancial de los materiales necesarios para la producción. No se aplicará </w:t>
      </w:r>
      <w:smartTag w:uri="urn:schemas-microsoft-com:office:smarttags" w:element="PersonName">
        <w:smartTagPr>
          <w:attr w:name="ProductID" w:val="la CV"/>
        </w:smartTagPr>
        <w:r w:rsidR="003C550A" w:rsidRPr="00E33A7C">
          <w:rPr>
            <w:rFonts w:ascii="Times New Roman" w:hAnsi="Times New Roman" w:cs="Times New Roman"/>
            <w:sz w:val="28"/>
            <w:szCs w:val="28"/>
            <w:lang w:val="es-MX"/>
          </w:rPr>
          <w:t>la CV</w:t>
        </w:r>
      </w:smartTag>
      <w:r w:rsidR="003C550A" w:rsidRPr="00E33A7C">
        <w:rPr>
          <w:rFonts w:ascii="Times New Roman" w:hAnsi="Times New Roman" w:cs="Times New Roman"/>
          <w:sz w:val="28"/>
          <w:szCs w:val="28"/>
          <w:lang w:val="es-MX"/>
        </w:rPr>
        <w:t xml:space="preserve"> cuando el que proporcione las mercaderías se obligue principalmente a proveer mano de obra. Este artículo diferencia los ámbitos industrial, laboral y comercial.</w:t>
      </w:r>
    </w:p>
    <w:p w:rsidR="004B4F9A" w:rsidRPr="00E33A7C" w:rsidRDefault="004B4F9A" w:rsidP="00385A28">
      <w:pPr>
        <w:spacing w:line="360" w:lineRule="auto"/>
        <w:ind w:left="357"/>
        <w:jc w:val="both"/>
        <w:rPr>
          <w:rFonts w:ascii="Times New Roman" w:hAnsi="Times New Roman" w:cs="Times New Roman"/>
          <w:sz w:val="28"/>
          <w:szCs w:val="28"/>
          <w:lang w:val="es-MX"/>
        </w:rPr>
      </w:pPr>
    </w:p>
    <w:p w:rsidR="00385A28" w:rsidRPr="00E33A7C" w:rsidRDefault="004B4F9A" w:rsidP="00385A2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De la obra coordinada </w:t>
      </w:r>
      <w:r w:rsidR="005A1013" w:rsidRPr="00E33A7C">
        <w:rPr>
          <w:rFonts w:ascii="Times New Roman" w:hAnsi="Times New Roman" w:cs="Times New Roman"/>
          <w:sz w:val="28"/>
          <w:szCs w:val="28"/>
          <w:lang w:val="es-MX"/>
        </w:rPr>
        <w:t>por Carlos Esplugues Mota</w:t>
      </w:r>
      <w:r w:rsidR="005A1013" w:rsidRPr="00E33A7C">
        <w:rPr>
          <w:rStyle w:val="FootnoteReference"/>
          <w:rFonts w:ascii="Times New Roman" w:hAnsi="Times New Roman" w:cs="Times New Roman"/>
          <w:sz w:val="28"/>
          <w:szCs w:val="28"/>
          <w:lang w:val="es-MX"/>
        </w:rPr>
        <w:footnoteReference w:id="7"/>
      </w:r>
      <w:r w:rsidR="005A1013" w:rsidRPr="00E33A7C">
        <w:rPr>
          <w:rFonts w:ascii="Times New Roman" w:hAnsi="Times New Roman" w:cs="Times New Roman"/>
          <w:sz w:val="28"/>
          <w:szCs w:val="28"/>
          <w:lang w:val="es-MX"/>
        </w:rPr>
        <w:t xml:space="preserve">,  se extracta algunos casos que ilustran las normas de </w:t>
      </w:r>
      <w:smartTag w:uri="urn:schemas-microsoft-com:office:smarttags" w:element="PersonName">
        <w:smartTagPr>
          <w:attr w:name="ProductID" w:val="la CV"/>
        </w:smartTagPr>
        <w:r w:rsidR="005A1013" w:rsidRPr="00E33A7C">
          <w:rPr>
            <w:rFonts w:ascii="Times New Roman" w:hAnsi="Times New Roman" w:cs="Times New Roman"/>
            <w:sz w:val="28"/>
            <w:szCs w:val="28"/>
            <w:lang w:val="es-MX"/>
          </w:rPr>
          <w:t>la CV</w:t>
        </w:r>
      </w:smartTag>
      <w:r w:rsidR="005A1013" w:rsidRPr="00E33A7C">
        <w:rPr>
          <w:rFonts w:ascii="Times New Roman" w:hAnsi="Times New Roman" w:cs="Times New Roman"/>
          <w:sz w:val="28"/>
          <w:szCs w:val="28"/>
          <w:lang w:val="es-MX"/>
        </w:rPr>
        <w:t xml:space="preserve"> sobre</w:t>
      </w:r>
      <w:r w:rsidR="00385A28" w:rsidRPr="00E33A7C">
        <w:rPr>
          <w:rFonts w:ascii="Times New Roman" w:hAnsi="Times New Roman" w:cs="Times New Roman"/>
          <w:sz w:val="28"/>
          <w:szCs w:val="28"/>
          <w:lang w:val="es-MX"/>
        </w:rPr>
        <w:t xml:space="preserve"> la compraventa internacional:-</w:t>
      </w:r>
    </w:p>
    <w:p w:rsidR="00385A28" w:rsidRPr="00E33A7C" w:rsidRDefault="00385A28" w:rsidP="00385A28">
      <w:pPr>
        <w:spacing w:line="360" w:lineRule="auto"/>
        <w:ind w:left="357"/>
        <w:jc w:val="both"/>
        <w:rPr>
          <w:rFonts w:ascii="Times New Roman" w:hAnsi="Times New Roman" w:cs="Times New Roman"/>
          <w:sz w:val="28"/>
          <w:szCs w:val="28"/>
          <w:lang w:val="es-MX"/>
        </w:rPr>
      </w:pPr>
    </w:p>
    <w:p w:rsidR="00831EDA" w:rsidRPr="002E2A78" w:rsidRDefault="00385A28"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La reclamación por parte de un fabricante alemán de motores de cortadoras de césped contra un italiano distribuido</w:t>
      </w:r>
      <w:r w:rsidR="007A18D9">
        <w:rPr>
          <w:rFonts w:ascii="Times New Roman" w:hAnsi="Times New Roman" w:cs="Times New Roman"/>
          <w:sz w:val="20"/>
          <w:szCs w:val="20"/>
          <w:lang w:val="es-MX"/>
        </w:rPr>
        <w:t>r</w:t>
      </w:r>
      <w:r w:rsidRPr="002E2A78">
        <w:rPr>
          <w:rFonts w:ascii="Times New Roman" w:hAnsi="Times New Roman" w:cs="Times New Roman"/>
          <w:sz w:val="20"/>
          <w:szCs w:val="20"/>
          <w:lang w:val="es-MX"/>
        </w:rPr>
        <w:t xml:space="preserve"> en exclusiva de dichos motores. El demandante acudió a los Tribunales reclamando el pago de los mismos. El demandado, por su parte, reconvino solicitando una indemnización por el pretendido incumplimiento del acuerdo de distribución en exclusiva</w:t>
      </w:r>
      <w:r w:rsidR="00831EDA" w:rsidRPr="002E2A78">
        <w:rPr>
          <w:rFonts w:ascii="Times New Roman" w:hAnsi="Times New Roman" w:cs="Times New Roman"/>
          <w:sz w:val="20"/>
          <w:szCs w:val="20"/>
          <w:lang w:val="es-MX"/>
        </w:rPr>
        <w:t xml:space="preserve">, dada </w:t>
      </w:r>
      <w:r w:rsidR="00831EDA" w:rsidRPr="002E2A78">
        <w:rPr>
          <w:rFonts w:ascii="Times New Roman" w:hAnsi="Times New Roman" w:cs="Times New Roman"/>
          <w:sz w:val="20"/>
          <w:szCs w:val="20"/>
          <w:lang w:val="es-MX"/>
        </w:rPr>
        <w:lastRenderedPageBreak/>
        <w:t>la negativa por parte del demandante de realizar nuevas entregas de motores. El Tribunal distinguió entre el acuerdo de distribución exclusiva que acompañaba al contrato de compraventa y que queda fuera del ámbito de aplicación del CV y los contratos de compraventa independientes para la entrega de los motores, q</w:t>
      </w:r>
      <w:r w:rsidR="007A18D9">
        <w:rPr>
          <w:rFonts w:ascii="Times New Roman" w:hAnsi="Times New Roman" w:cs="Times New Roman"/>
          <w:sz w:val="20"/>
          <w:szCs w:val="20"/>
          <w:lang w:val="es-MX"/>
        </w:rPr>
        <w:t xml:space="preserve">ue en ese específico supuesto,, </w:t>
      </w:r>
      <w:r w:rsidR="00831EDA" w:rsidRPr="002E2A78">
        <w:rPr>
          <w:rFonts w:ascii="Times New Roman" w:hAnsi="Times New Roman" w:cs="Times New Roman"/>
          <w:sz w:val="20"/>
          <w:szCs w:val="20"/>
          <w:lang w:val="es-MX"/>
        </w:rPr>
        <w:t>no se regulaban por el CV, sino por las concretas normas de Derecho internacional privado del foro.</w:t>
      </w:r>
    </w:p>
    <w:p w:rsidR="00831EDA" w:rsidRPr="002E2A78" w:rsidRDefault="00831EDA"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xml:space="preserve">El laudo de 8 de mayo de 1997 de </w:t>
      </w:r>
      <w:smartTag w:uri="urn:schemas-microsoft-com:office:smarttags" w:element="PersonName">
        <w:smartTagPr>
          <w:attr w:name="ProductID" w:val="la C￡mara"/>
        </w:smartTagPr>
        <w:r w:rsidRPr="002E2A78">
          <w:rPr>
            <w:rFonts w:ascii="Times New Roman" w:hAnsi="Times New Roman" w:cs="Times New Roman"/>
            <w:sz w:val="20"/>
            <w:szCs w:val="20"/>
            <w:lang w:val="es-MX"/>
          </w:rPr>
          <w:t>la Cámara</w:t>
        </w:r>
      </w:smartTag>
      <w:r w:rsidRPr="002E2A78">
        <w:rPr>
          <w:rFonts w:ascii="Times New Roman" w:hAnsi="Times New Roman" w:cs="Times New Roman"/>
          <w:sz w:val="20"/>
          <w:szCs w:val="20"/>
          <w:lang w:val="es-MX"/>
        </w:rPr>
        <w:t xml:space="preserve"> de Comercio e Industria de Hungría</w:t>
      </w:r>
      <w:r w:rsidR="00371702" w:rsidRPr="002E2A78">
        <w:rPr>
          <w:rFonts w:ascii="Times New Roman" w:hAnsi="Times New Roman" w:cs="Times New Roman"/>
          <w:sz w:val="20"/>
          <w:szCs w:val="20"/>
          <w:lang w:val="es-MX"/>
        </w:rPr>
        <w:t xml:space="preserve"> diferenció entre una relación comercial desarrollada entre los aspecto de la compraventa regulados por el CV y el acuerdo de representación que quedaría fuera del su ámbito de aplicación.</w:t>
      </w:r>
    </w:p>
    <w:p w:rsidR="00371702" w:rsidRPr="002E2A78" w:rsidRDefault="00371702"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En resolución de 25 de febrero de 1993 se consideró que la compensación queda fuera del CV; igualmente las cesiones de crédito y los derechos del vendedor y comprador con respecto a las garantías bancarias.</w:t>
      </w:r>
    </w:p>
    <w:p w:rsidR="00371702" w:rsidRPr="002E2A78" w:rsidRDefault="00371702"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xml:space="preserve">El Tribunal Comercial del Cantón Zurich en resolución de 9 de septiembre de 1993, consideró sin más que los contratos de suministro de mercaderías que habían de ser manufacturadas o distribuidas se consideran equivalentes a los contratos de compraventa siéndoles aplicables el artículo 3.1 de </w:t>
      </w:r>
      <w:smartTag w:uri="urn:schemas-microsoft-com:office:smarttags" w:element="PersonName">
        <w:smartTagPr>
          <w:attr w:name="ProductID" w:val="la CV."/>
        </w:smartTagPr>
        <w:r w:rsidRPr="002E2A78">
          <w:rPr>
            <w:rFonts w:ascii="Times New Roman" w:hAnsi="Times New Roman" w:cs="Times New Roman"/>
            <w:sz w:val="20"/>
            <w:szCs w:val="20"/>
            <w:lang w:val="es-MX"/>
          </w:rPr>
          <w:t>la CV.</w:t>
        </w:r>
      </w:smartTag>
    </w:p>
    <w:p w:rsidR="00371702" w:rsidRPr="002E2A78" w:rsidRDefault="00621642"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xml:space="preserve">El Tribunal Supremo Austriaco en sentencia de  27 de octubre de 1994 resolvió la inaplicabilidad del CV al haber suministrado la </w:t>
      </w:r>
      <w:r w:rsidR="00481FA1" w:rsidRPr="002E2A78">
        <w:rPr>
          <w:rFonts w:ascii="Times New Roman" w:hAnsi="Times New Roman" w:cs="Times New Roman"/>
          <w:sz w:val="20"/>
          <w:szCs w:val="20"/>
          <w:lang w:val="es-MX"/>
        </w:rPr>
        <w:t>parte</w:t>
      </w:r>
      <w:r w:rsidRPr="002E2A78">
        <w:rPr>
          <w:rFonts w:ascii="Times New Roman" w:hAnsi="Times New Roman" w:cs="Times New Roman"/>
          <w:sz w:val="20"/>
          <w:szCs w:val="20"/>
          <w:lang w:val="es-MX"/>
        </w:rPr>
        <w:t xml:space="preserve"> que hizo el pedido  una porción sustancial de los materiales necesarios parea la producción d</w:t>
      </w:r>
      <w:r w:rsidR="00A0200F">
        <w:rPr>
          <w:rFonts w:ascii="Times New Roman" w:hAnsi="Times New Roman" w:cs="Times New Roman"/>
          <w:sz w:val="20"/>
          <w:szCs w:val="20"/>
          <w:lang w:val="es-MX"/>
        </w:rPr>
        <w:t>e las mercaderías, artículo 3.1</w:t>
      </w:r>
      <w:r w:rsidRPr="002E2A78">
        <w:rPr>
          <w:rFonts w:ascii="Times New Roman" w:hAnsi="Times New Roman" w:cs="Times New Roman"/>
          <w:sz w:val="20"/>
          <w:szCs w:val="20"/>
          <w:lang w:val="es-MX"/>
        </w:rPr>
        <w:t xml:space="preserve"> del CV. Además entendió que la parte que fabricaba las mercaderías debía proporcionar ante todo la mano de obra y prestar </w:t>
      </w:r>
      <w:r w:rsidR="00481FA1" w:rsidRPr="002E2A78">
        <w:rPr>
          <w:rFonts w:ascii="Times New Roman" w:hAnsi="Times New Roman" w:cs="Times New Roman"/>
          <w:sz w:val="20"/>
          <w:szCs w:val="20"/>
          <w:lang w:val="es-MX"/>
        </w:rPr>
        <w:t>servicios</w:t>
      </w:r>
      <w:r w:rsidRPr="002E2A78">
        <w:rPr>
          <w:rFonts w:ascii="Times New Roman" w:hAnsi="Times New Roman" w:cs="Times New Roman"/>
          <w:sz w:val="20"/>
          <w:szCs w:val="20"/>
          <w:lang w:val="es-MX"/>
        </w:rPr>
        <w:t>, artículo 3.2 del CV.</w:t>
      </w:r>
    </w:p>
    <w:p w:rsidR="00621642" w:rsidRPr="002E2A78" w:rsidRDefault="00621642" w:rsidP="00831EDA">
      <w:pPr>
        <w:numPr>
          <w:ilvl w:val="0"/>
          <w:numId w:val="4"/>
        </w:numPr>
        <w:spacing w:line="360" w:lineRule="auto"/>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xml:space="preserve">El Tribunal Comercial del Cantón Zurich en sentencia de 26 de abril de 1995 estimó que en el caso de compraventa de mercaderías con la obligación de instalar un contenedor era aplicable </w:t>
      </w:r>
      <w:smartTag w:uri="urn:schemas-microsoft-com:office:smarttags" w:element="PersonName">
        <w:smartTagPr>
          <w:attr w:name="ProductID" w:val="la CV"/>
        </w:smartTagPr>
        <w:r w:rsidRPr="002E2A78">
          <w:rPr>
            <w:rFonts w:ascii="Times New Roman" w:hAnsi="Times New Roman" w:cs="Times New Roman"/>
            <w:sz w:val="20"/>
            <w:szCs w:val="20"/>
            <w:lang w:val="es-MX"/>
          </w:rPr>
          <w:t>la CV</w:t>
        </w:r>
      </w:smartTag>
      <w:r w:rsidRPr="002E2A78">
        <w:rPr>
          <w:rFonts w:ascii="Times New Roman" w:hAnsi="Times New Roman" w:cs="Times New Roman"/>
          <w:sz w:val="20"/>
          <w:szCs w:val="20"/>
          <w:lang w:val="es-MX"/>
        </w:rPr>
        <w:t>, pues, dicha obligación era accesoria, de</w:t>
      </w:r>
      <w:r w:rsidR="00481FA1" w:rsidRPr="002E2A78">
        <w:rPr>
          <w:rFonts w:ascii="Times New Roman" w:hAnsi="Times New Roman" w:cs="Times New Roman"/>
          <w:sz w:val="20"/>
          <w:szCs w:val="20"/>
          <w:lang w:val="es-MX"/>
        </w:rPr>
        <w:t xml:space="preserve"> </w:t>
      </w:r>
      <w:r w:rsidRPr="002E2A78">
        <w:rPr>
          <w:rFonts w:ascii="Times New Roman" w:hAnsi="Times New Roman" w:cs="Times New Roman"/>
          <w:sz w:val="20"/>
          <w:szCs w:val="20"/>
          <w:lang w:val="es-MX"/>
        </w:rPr>
        <w:t xml:space="preserve"> acuerdo al artículo 3.2.</w:t>
      </w:r>
    </w:p>
    <w:p w:rsidR="00481FA1" w:rsidRPr="002E2A78" w:rsidRDefault="00481FA1" w:rsidP="00481FA1">
      <w:pPr>
        <w:spacing w:line="360" w:lineRule="auto"/>
        <w:ind w:left="357"/>
        <w:jc w:val="both"/>
        <w:rPr>
          <w:rFonts w:ascii="Times New Roman" w:hAnsi="Times New Roman" w:cs="Times New Roman"/>
          <w:sz w:val="20"/>
          <w:szCs w:val="20"/>
          <w:lang w:val="es-MX"/>
        </w:rPr>
      </w:pPr>
    </w:p>
    <w:p w:rsidR="00B734F9" w:rsidRPr="00E33A7C" w:rsidRDefault="003B56E1"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Francisco Oliva Blázquez</w:t>
      </w:r>
      <w:r w:rsidRPr="00E33A7C">
        <w:rPr>
          <w:rStyle w:val="FootnoteReference"/>
          <w:rFonts w:ascii="Times New Roman" w:hAnsi="Times New Roman" w:cs="Times New Roman"/>
          <w:sz w:val="28"/>
          <w:szCs w:val="28"/>
          <w:lang w:val="es-MX"/>
        </w:rPr>
        <w:footnoteReference w:id="8"/>
      </w:r>
      <w:r w:rsidRPr="00E33A7C">
        <w:rPr>
          <w:rFonts w:ascii="Times New Roman" w:hAnsi="Times New Roman" w:cs="Times New Roman"/>
          <w:sz w:val="28"/>
          <w:szCs w:val="28"/>
          <w:lang w:val="es-MX"/>
        </w:rPr>
        <w:t>, diferencia con toda lucidez, para la conspicua inteligencia y comprensión  de las compraventas que se ha de entender regidas por CV entre delimitación positiva atinentes a las figuras que se incluyen y delimitación negativas  concerniente a aquéllas otras  que se excluyen.</w:t>
      </w:r>
      <w:r w:rsidR="00186155" w:rsidRPr="00E33A7C">
        <w:rPr>
          <w:rFonts w:ascii="Times New Roman" w:hAnsi="Times New Roman" w:cs="Times New Roman"/>
          <w:sz w:val="28"/>
          <w:szCs w:val="28"/>
          <w:lang w:val="es-MX"/>
        </w:rPr>
        <w:t xml:space="preserve"> Entre las positivas  alude a casos que han suscitado viva discusión, cual el denominado contrato llave en mano, </w:t>
      </w:r>
      <w:r w:rsidR="00186155" w:rsidRPr="00E33A7C">
        <w:rPr>
          <w:rFonts w:ascii="Times New Roman" w:hAnsi="Times New Roman" w:cs="Times New Roman"/>
          <w:i/>
          <w:sz w:val="28"/>
          <w:szCs w:val="28"/>
          <w:lang w:val="es-MX"/>
        </w:rPr>
        <w:t>turn-key con</w:t>
      </w:r>
      <w:r w:rsidR="008F32C8">
        <w:rPr>
          <w:rFonts w:ascii="Times New Roman" w:hAnsi="Times New Roman" w:cs="Times New Roman"/>
          <w:i/>
          <w:sz w:val="28"/>
          <w:szCs w:val="28"/>
          <w:lang w:val="es-MX"/>
        </w:rPr>
        <w:t>t</w:t>
      </w:r>
      <w:r w:rsidR="00186155" w:rsidRPr="00E33A7C">
        <w:rPr>
          <w:rFonts w:ascii="Times New Roman" w:hAnsi="Times New Roman" w:cs="Times New Roman"/>
          <w:i/>
          <w:sz w:val="28"/>
          <w:szCs w:val="28"/>
          <w:lang w:val="es-MX"/>
        </w:rPr>
        <w:t>racts,</w:t>
      </w:r>
      <w:r w:rsidR="00186155" w:rsidRPr="00E33A7C">
        <w:rPr>
          <w:rFonts w:ascii="Times New Roman" w:hAnsi="Times New Roman" w:cs="Times New Roman"/>
          <w:sz w:val="28"/>
          <w:szCs w:val="28"/>
          <w:lang w:val="es-MX"/>
        </w:rPr>
        <w:t xml:space="preserve"> que para unos autores se encuentra excluido de </w:t>
      </w:r>
      <w:smartTag w:uri="urn:schemas-microsoft-com:office:smarttags" w:element="PersonName">
        <w:smartTagPr>
          <w:attr w:name="ProductID" w:val="la CV"/>
        </w:smartTagPr>
        <w:r w:rsidR="00186155" w:rsidRPr="00E33A7C">
          <w:rPr>
            <w:rFonts w:ascii="Times New Roman" w:hAnsi="Times New Roman" w:cs="Times New Roman"/>
            <w:sz w:val="28"/>
            <w:szCs w:val="28"/>
            <w:lang w:val="es-MX"/>
          </w:rPr>
          <w:t>la CV</w:t>
        </w:r>
      </w:smartTag>
      <w:r w:rsidR="00186155" w:rsidRPr="00E33A7C">
        <w:rPr>
          <w:rFonts w:ascii="Times New Roman" w:hAnsi="Times New Roman" w:cs="Times New Roman"/>
          <w:sz w:val="28"/>
          <w:szCs w:val="28"/>
          <w:lang w:val="es-MX"/>
        </w:rPr>
        <w:t xml:space="preserve"> por la preponder</w:t>
      </w:r>
      <w:r w:rsidR="00A0200F">
        <w:rPr>
          <w:rFonts w:ascii="Times New Roman" w:hAnsi="Times New Roman" w:cs="Times New Roman"/>
          <w:sz w:val="28"/>
          <w:szCs w:val="28"/>
          <w:lang w:val="es-MX"/>
        </w:rPr>
        <w:t xml:space="preserve">ancia de la porción servicios, </w:t>
      </w:r>
      <w:r w:rsidR="00186155" w:rsidRPr="00E33A7C">
        <w:rPr>
          <w:rFonts w:ascii="Times New Roman" w:hAnsi="Times New Roman" w:cs="Times New Roman"/>
          <w:sz w:val="28"/>
          <w:szCs w:val="28"/>
          <w:lang w:val="es-MX"/>
        </w:rPr>
        <w:t xml:space="preserve">en tanto que para otros, sin dar mayor explicación,  sí deben incluírselos. El autor se inclina por la segunda posición, previo el análisis casuístico que permita </w:t>
      </w:r>
      <w:r w:rsidR="00186155" w:rsidRPr="00E33A7C">
        <w:rPr>
          <w:rFonts w:ascii="Times New Roman" w:hAnsi="Times New Roman" w:cs="Times New Roman"/>
          <w:sz w:val="28"/>
          <w:szCs w:val="28"/>
          <w:lang w:val="es-MX"/>
        </w:rPr>
        <w:lastRenderedPageBreak/>
        <w:t xml:space="preserve">discernir la magnitud de la porción servicios. En lo tocante al contrato </w:t>
      </w:r>
      <w:r w:rsidR="00186155" w:rsidRPr="00E33A7C">
        <w:rPr>
          <w:rFonts w:ascii="Times New Roman" w:hAnsi="Times New Roman" w:cs="Times New Roman"/>
          <w:i/>
          <w:sz w:val="28"/>
          <w:szCs w:val="28"/>
          <w:lang w:val="es-MX"/>
        </w:rPr>
        <w:t xml:space="preserve">design </w:t>
      </w:r>
      <w:r w:rsidR="00E61581" w:rsidRPr="00E33A7C">
        <w:rPr>
          <w:rFonts w:ascii="Times New Roman" w:hAnsi="Times New Roman" w:cs="Times New Roman"/>
          <w:i/>
          <w:sz w:val="28"/>
          <w:szCs w:val="28"/>
          <w:lang w:val="es-MX"/>
        </w:rPr>
        <w:t>&amp;</w:t>
      </w:r>
      <w:r w:rsidR="00186155" w:rsidRPr="00E33A7C">
        <w:rPr>
          <w:rFonts w:ascii="Times New Roman" w:hAnsi="Times New Roman" w:cs="Times New Roman"/>
          <w:i/>
          <w:sz w:val="28"/>
          <w:szCs w:val="28"/>
          <w:lang w:val="es-MX"/>
        </w:rPr>
        <w:t xml:space="preserve"> build</w:t>
      </w:r>
      <w:r w:rsidR="00E61581" w:rsidRPr="00E33A7C">
        <w:rPr>
          <w:rFonts w:ascii="Times New Roman" w:hAnsi="Times New Roman" w:cs="Times New Roman"/>
          <w:sz w:val="28"/>
          <w:szCs w:val="28"/>
          <w:lang w:val="es-MX"/>
        </w:rPr>
        <w:t xml:space="preserve">, por el cual  el contratista  se obliga a concebir y ejecutar un proyecto industrial conforme a las exigencias y necesidades del cliente, sostiene Oliva Blázquez que se encuentra incluido en </w:t>
      </w:r>
      <w:smartTag w:uri="urn:schemas-microsoft-com:office:smarttags" w:element="PersonName">
        <w:smartTagPr>
          <w:attr w:name="ProductID" w:val="la CV"/>
        </w:smartTagPr>
        <w:r w:rsidR="00E61581" w:rsidRPr="00E33A7C">
          <w:rPr>
            <w:rFonts w:ascii="Times New Roman" w:hAnsi="Times New Roman" w:cs="Times New Roman"/>
            <w:sz w:val="28"/>
            <w:szCs w:val="28"/>
            <w:lang w:val="es-MX"/>
          </w:rPr>
          <w:t>la CV</w:t>
        </w:r>
      </w:smartTag>
      <w:r w:rsidR="00E61581" w:rsidRPr="00E33A7C">
        <w:rPr>
          <w:rFonts w:ascii="Times New Roman" w:hAnsi="Times New Roman" w:cs="Times New Roman"/>
          <w:sz w:val="28"/>
          <w:szCs w:val="28"/>
          <w:lang w:val="es-MX"/>
        </w:rPr>
        <w:t>, a menos que exista una aportac</w:t>
      </w:r>
      <w:r w:rsidR="00B734F9" w:rsidRPr="00E33A7C">
        <w:rPr>
          <w:rFonts w:ascii="Times New Roman" w:hAnsi="Times New Roman" w:cs="Times New Roman"/>
          <w:sz w:val="28"/>
          <w:szCs w:val="28"/>
          <w:lang w:val="es-MX"/>
        </w:rPr>
        <w:t>ión sustancial de los materiales.</w:t>
      </w:r>
    </w:p>
    <w:p w:rsidR="00B734F9" w:rsidRPr="00E33A7C" w:rsidRDefault="00B734F9" w:rsidP="003B56E1">
      <w:pPr>
        <w:spacing w:line="360" w:lineRule="auto"/>
        <w:ind w:left="357"/>
        <w:jc w:val="both"/>
        <w:rPr>
          <w:rFonts w:ascii="Times New Roman" w:hAnsi="Times New Roman" w:cs="Times New Roman"/>
          <w:sz w:val="28"/>
          <w:szCs w:val="28"/>
          <w:lang w:val="es-MX"/>
        </w:rPr>
      </w:pPr>
    </w:p>
    <w:p w:rsidR="003B56E1" w:rsidRPr="00E33A7C" w:rsidRDefault="00B734F9"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Sobre la exclusión de la electricidad, Oliva Blázquez subraya que lo que se discute en el fondo es su condición de mercadería. Anota que otros instrumentos la consideran tal, el Convenio Internacional de </w:t>
      </w:r>
      <w:smartTag w:uri="urn:schemas-microsoft-com:office:smarttags" w:element="PersonName">
        <w:smartTagPr>
          <w:attr w:name="ProductID" w:val="la Haya"/>
        </w:smartTagPr>
        <w:r w:rsidRPr="00E33A7C">
          <w:rPr>
            <w:rFonts w:ascii="Times New Roman" w:hAnsi="Times New Roman" w:cs="Times New Roman"/>
            <w:sz w:val="28"/>
            <w:szCs w:val="28"/>
            <w:lang w:val="es-MX"/>
          </w:rPr>
          <w:t>la Haya</w:t>
        </w:r>
      </w:smartTag>
      <w:r w:rsidRPr="00E33A7C">
        <w:rPr>
          <w:rFonts w:ascii="Times New Roman" w:hAnsi="Times New Roman" w:cs="Times New Roman"/>
          <w:sz w:val="28"/>
          <w:szCs w:val="28"/>
          <w:lang w:val="es-MX"/>
        </w:rPr>
        <w:t xml:space="preserve"> de 1986  relativo a </w:t>
      </w:r>
      <w:smartTag w:uri="urn:schemas-microsoft-com:office:smarttags" w:element="PersonName">
        <w:smartTagPr>
          <w:attr w:name="ProductID" w:val="la Ley"/>
        </w:smartTagPr>
        <w:r w:rsidRPr="00E33A7C">
          <w:rPr>
            <w:rFonts w:ascii="Times New Roman" w:hAnsi="Times New Roman" w:cs="Times New Roman"/>
            <w:sz w:val="28"/>
            <w:szCs w:val="28"/>
            <w:lang w:val="es-MX"/>
          </w:rPr>
          <w:t>la Ley</w:t>
        </w:r>
      </w:smartTag>
      <w:r w:rsidRPr="00E33A7C">
        <w:rPr>
          <w:rFonts w:ascii="Times New Roman" w:hAnsi="Times New Roman" w:cs="Times New Roman"/>
          <w:sz w:val="28"/>
          <w:szCs w:val="28"/>
          <w:lang w:val="es-MX"/>
        </w:rPr>
        <w:t xml:space="preserve"> aplicable a la compraventa internacional de mercaderías y </w:t>
      </w:r>
      <w:smartTag w:uri="urn:schemas-microsoft-com:office:smarttags" w:element="PersonName">
        <w:smartTagPr>
          <w:attr w:name="ProductID" w:val="la Directiva"/>
        </w:smartTagPr>
        <w:r w:rsidRPr="00E33A7C">
          <w:rPr>
            <w:rFonts w:ascii="Times New Roman" w:hAnsi="Times New Roman" w:cs="Times New Roman"/>
            <w:sz w:val="28"/>
            <w:szCs w:val="28"/>
            <w:lang w:val="es-MX"/>
          </w:rPr>
          <w:t>la Directiva</w:t>
        </w:r>
      </w:smartTag>
      <w:r w:rsidRPr="00E33A7C">
        <w:rPr>
          <w:rFonts w:ascii="Times New Roman" w:hAnsi="Times New Roman" w:cs="Times New Roman"/>
          <w:sz w:val="28"/>
          <w:szCs w:val="28"/>
          <w:lang w:val="es-MX"/>
        </w:rPr>
        <w:t xml:space="preserve">  85/374/ CEE </w:t>
      </w:r>
      <w:r w:rsidRPr="00E33A7C">
        <w:rPr>
          <w:rFonts w:ascii="Times New Roman" w:hAnsi="Times New Roman" w:cs="Times New Roman"/>
          <w:i/>
          <w:sz w:val="28"/>
          <w:szCs w:val="28"/>
          <w:lang w:val="es-MX"/>
        </w:rPr>
        <w:t>sobre la responsabilidad de daños causados por produc</w:t>
      </w:r>
      <w:r w:rsidR="005E6AFD" w:rsidRPr="00E33A7C">
        <w:rPr>
          <w:rFonts w:ascii="Times New Roman" w:hAnsi="Times New Roman" w:cs="Times New Roman"/>
          <w:i/>
          <w:sz w:val="28"/>
          <w:szCs w:val="28"/>
          <w:lang w:val="es-MX"/>
        </w:rPr>
        <w:t>tos</w:t>
      </w:r>
      <w:r w:rsidRPr="00E33A7C">
        <w:rPr>
          <w:rFonts w:ascii="Times New Roman" w:hAnsi="Times New Roman" w:cs="Times New Roman"/>
          <w:sz w:val="28"/>
          <w:szCs w:val="28"/>
          <w:lang w:val="es-MX"/>
        </w:rPr>
        <w:t xml:space="preserve">. </w:t>
      </w:r>
      <w:r w:rsidR="00217EA5" w:rsidRPr="00E33A7C">
        <w:rPr>
          <w:rFonts w:ascii="Times New Roman" w:hAnsi="Times New Roman" w:cs="Times New Roman"/>
          <w:sz w:val="28"/>
          <w:szCs w:val="28"/>
          <w:lang w:val="es-MX"/>
        </w:rPr>
        <w:t xml:space="preserve">Señala que algunos otros elementos que podrían ser eventualmente excluidos de </w:t>
      </w:r>
      <w:smartTag w:uri="urn:schemas-microsoft-com:office:smarttags" w:element="PersonName">
        <w:smartTagPr>
          <w:attr w:name="ProductID" w:val="la CV"/>
        </w:smartTagPr>
        <w:r w:rsidR="00217EA5" w:rsidRPr="00E33A7C">
          <w:rPr>
            <w:rFonts w:ascii="Times New Roman" w:hAnsi="Times New Roman" w:cs="Times New Roman"/>
            <w:sz w:val="28"/>
            <w:szCs w:val="28"/>
            <w:lang w:val="es-MX"/>
          </w:rPr>
          <w:t>la CV</w:t>
        </w:r>
      </w:smartTag>
      <w:r w:rsidR="00217EA5" w:rsidRPr="00E33A7C">
        <w:rPr>
          <w:rFonts w:ascii="Times New Roman" w:hAnsi="Times New Roman" w:cs="Times New Roman"/>
          <w:sz w:val="28"/>
          <w:szCs w:val="28"/>
          <w:lang w:val="es-MX"/>
        </w:rPr>
        <w:t xml:space="preserve"> no lo han sido. Así el gas, el petróleo, el uranio, el carbón, la energía atómica. Todo ello denota que </w:t>
      </w:r>
      <w:smartTag w:uri="urn:schemas-microsoft-com:office:smarttags" w:element="PersonName">
        <w:smartTagPr>
          <w:attr w:name="ProductID" w:val="la CV"/>
        </w:smartTagPr>
        <w:r w:rsidR="00217EA5" w:rsidRPr="00E33A7C">
          <w:rPr>
            <w:rFonts w:ascii="Times New Roman" w:hAnsi="Times New Roman" w:cs="Times New Roman"/>
            <w:sz w:val="28"/>
            <w:szCs w:val="28"/>
            <w:lang w:val="es-MX"/>
          </w:rPr>
          <w:t>la CV</w:t>
        </w:r>
      </w:smartTag>
      <w:r w:rsidR="00217EA5" w:rsidRPr="00E33A7C">
        <w:rPr>
          <w:rFonts w:ascii="Times New Roman" w:hAnsi="Times New Roman" w:cs="Times New Roman"/>
          <w:sz w:val="28"/>
          <w:szCs w:val="28"/>
          <w:lang w:val="es-MX"/>
        </w:rPr>
        <w:t xml:space="preserve"> tiene que  actualizarse. Desde su suscripción, han transcurrido casi unos buenos treinta años. Qué decir del </w:t>
      </w:r>
      <w:r w:rsidR="00217EA5" w:rsidRPr="00E33A7C">
        <w:rPr>
          <w:rFonts w:ascii="Times New Roman" w:hAnsi="Times New Roman" w:cs="Times New Roman"/>
          <w:i/>
          <w:sz w:val="28"/>
          <w:szCs w:val="28"/>
          <w:lang w:val="es-MX"/>
        </w:rPr>
        <w:t>e commerce</w:t>
      </w:r>
      <w:r w:rsidR="00217EA5" w:rsidRPr="00E33A7C">
        <w:rPr>
          <w:rFonts w:ascii="Times New Roman" w:hAnsi="Times New Roman" w:cs="Times New Roman"/>
          <w:sz w:val="28"/>
          <w:szCs w:val="28"/>
          <w:lang w:val="es-MX"/>
        </w:rPr>
        <w:t xml:space="preserve"> y de la compraventa por ese medio hoy en constante expansión?</w:t>
      </w:r>
    </w:p>
    <w:p w:rsidR="005E6AFD" w:rsidRPr="00E33A7C" w:rsidRDefault="005E6AFD" w:rsidP="003B56E1">
      <w:pPr>
        <w:spacing w:line="360" w:lineRule="auto"/>
        <w:ind w:left="357"/>
        <w:jc w:val="both"/>
        <w:rPr>
          <w:rFonts w:ascii="Times New Roman" w:hAnsi="Times New Roman" w:cs="Times New Roman"/>
          <w:sz w:val="28"/>
          <w:szCs w:val="28"/>
          <w:lang w:val="es-MX"/>
        </w:rPr>
      </w:pPr>
    </w:p>
    <w:p w:rsidR="00901790" w:rsidRPr="00E33A7C" w:rsidRDefault="005E6AFD" w:rsidP="003B56E1">
      <w:pPr>
        <w:spacing w:line="360" w:lineRule="auto"/>
        <w:ind w:left="357"/>
        <w:jc w:val="both"/>
        <w:rPr>
          <w:rFonts w:ascii="Times New Roman" w:hAnsi="Times New Roman" w:cs="Times New Roman"/>
          <w:sz w:val="28"/>
          <w:szCs w:val="28"/>
          <w:lang w:val="es-MX"/>
        </w:rPr>
      </w:pPr>
      <w:smartTag w:uri="urn:schemas-microsoft-com:office:smarttags" w:element="metricconverter">
        <w:smartTagPr>
          <w:attr w:name="ProductID" w:val="4. A"/>
        </w:smartTagPr>
        <w:r w:rsidRPr="00E33A7C">
          <w:rPr>
            <w:rFonts w:ascii="Times New Roman" w:hAnsi="Times New Roman" w:cs="Times New Roman"/>
            <w:sz w:val="28"/>
            <w:szCs w:val="28"/>
            <w:lang w:val="es-MX"/>
          </w:rPr>
          <w:t>4. A</w:t>
        </w:r>
      </w:smartTag>
      <w:r w:rsidRPr="00E33A7C">
        <w:rPr>
          <w:rFonts w:ascii="Times New Roman" w:hAnsi="Times New Roman" w:cs="Times New Roman"/>
          <w:sz w:val="28"/>
          <w:szCs w:val="28"/>
          <w:lang w:val="es-MX"/>
        </w:rPr>
        <w:t xml:space="preserve"> más de que la noción de contrato de compraventa internacional es peculiar para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es de anotar que la misma regula exclusivamente ciertos aspectos del contrato en cuestión. El artículo 4 prevé que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regula </w:t>
      </w:r>
      <w:r w:rsidR="00CF060C" w:rsidRPr="00E33A7C">
        <w:rPr>
          <w:rFonts w:ascii="Times New Roman" w:hAnsi="Times New Roman" w:cs="Times New Roman"/>
          <w:sz w:val="28"/>
          <w:szCs w:val="28"/>
          <w:lang w:val="es-MX"/>
        </w:rPr>
        <w:t xml:space="preserve">únicamente </w:t>
      </w:r>
      <w:r w:rsidRPr="00E33A7C">
        <w:rPr>
          <w:rFonts w:ascii="Times New Roman" w:hAnsi="Times New Roman" w:cs="Times New Roman"/>
          <w:sz w:val="28"/>
          <w:szCs w:val="28"/>
          <w:lang w:val="es-MX"/>
        </w:rPr>
        <w:t xml:space="preserve">la formación del contrato y los derechos y obligaciones de vendedor y comprador.  Además, señala que, salvo disposición expresa en contrario, </w:t>
      </w:r>
      <w:smartTag w:uri="urn:schemas-microsoft-com:office:smarttags" w:element="PersonName">
        <w:smartTagPr>
          <w:attr w:name="ProductID" w:val="la CV"/>
        </w:smartTagPr>
        <w:r w:rsidRPr="00E33A7C">
          <w:rPr>
            <w:rFonts w:ascii="Times New Roman" w:hAnsi="Times New Roman" w:cs="Times New Roman"/>
            <w:sz w:val="28"/>
            <w:szCs w:val="28"/>
            <w:lang w:val="es-MX"/>
          </w:rPr>
          <w:t xml:space="preserve">la </w:t>
        </w:r>
        <w:r w:rsidR="00251D87" w:rsidRPr="00E33A7C">
          <w:rPr>
            <w:rFonts w:ascii="Times New Roman" w:hAnsi="Times New Roman" w:cs="Times New Roman"/>
            <w:sz w:val="28"/>
            <w:szCs w:val="28"/>
            <w:lang w:val="es-MX"/>
          </w:rPr>
          <w:t>CV</w:t>
        </w:r>
      </w:smartTag>
      <w:r w:rsidR="00251D87" w:rsidRPr="00E33A7C">
        <w:rPr>
          <w:rFonts w:ascii="Times New Roman" w:hAnsi="Times New Roman" w:cs="Times New Roman"/>
          <w:sz w:val="28"/>
          <w:szCs w:val="28"/>
          <w:lang w:val="es-MX"/>
        </w:rPr>
        <w:t xml:space="preserve"> </w:t>
      </w:r>
      <w:r w:rsidRPr="00E33A7C">
        <w:rPr>
          <w:rFonts w:ascii="Times New Roman" w:hAnsi="Times New Roman" w:cs="Times New Roman"/>
          <w:sz w:val="28"/>
          <w:szCs w:val="28"/>
          <w:lang w:val="es-MX"/>
        </w:rPr>
        <w:t>no concierne a la validez del contrato ni a la de ninguna de sus estipulaciones, ni tampoco a la de cualquier uso</w:t>
      </w:r>
      <w:r w:rsidR="00901790" w:rsidRPr="00E33A7C">
        <w:rPr>
          <w:rFonts w:ascii="Times New Roman" w:hAnsi="Times New Roman" w:cs="Times New Roman"/>
          <w:sz w:val="28"/>
          <w:szCs w:val="28"/>
          <w:lang w:val="es-MX"/>
        </w:rPr>
        <w:t xml:space="preserve"> y a los efectos que el contrato pueda producir sobre la propiedad de las mercaderías vendidas. El artículo 5 dice que </w:t>
      </w:r>
      <w:smartTag w:uri="urn:schemas-microsoft-com:office:smarttags" w:element="PersonName">
        <w:smartTagPr>
          <w:attr w:name="ProductID" w:val="la CV"/>
        </w:smartTagPr>
        <w:r w:rsidR="00901790" w:rsidRPr="00E33A7C">
          <w:rPr>
            <w:rFonts w:ascii="Times New Roman" w:hAnsi="Times New Roman" w:cs="Times New Roman"/>
            <w:sz w:val="28"/>
            <w:szCs w:val="28"/>
            <w:lang w:val="es-MX"/>
          </w:rPr>
          <w:t>la CV</w:t>
        </w:r>
      </w:smartTag>
      <w:r w:rsidR="00901790" w:rsidRPr="00E33A7C">
        <w:rPr>
          <w:rFonts w:ascii="Times New Roman" w:hAnsi="Times New Roman" w:cs="Times New Roman"/>
          <w:sz w:val="28"/>
          <w:szCs w:val="28"/>
          <w:lang w:val="es-MX"/>
        </w:rPr>
        <w:t xml:space="preserve">  no se aplicará a la responsabilidad por muerte o a las lesiones corporales causadas a una persona por las mercaderías.</w:t>
      </w:r>
      <w:r w:rsidR="007E1EA1" w:rsidRPr="00E33A7C">
        <w:rPr>
          <w:rFonts w:ascii="Times New Roman" w:hAnsi="Times New Roman" w:cs="Times New Roman"/>
          <w:sz w:val="28"/>
          <w:szCs w:val="28"/>
          <w:lang w:val="es-MX"/>
        </w:rPr>
        <w:t xml:space="preserve"> Por su parte el artículo 6  </w:t>
      </w:r>
      <w:r w:rsidR="007E1EA1" w:rsidRPr="00E33A7C">
        <w:rPr>
          <w:rFonts w:ascii="Times New Roman" w:hAnsi="Times New Roman" w:cs="Times New Roman"/>
          <w:sz w:val="28"/>
          <w:szCs w:val="28"/>
          <w:lang w:val="es-MX"/>
        </w:rPr>
        <w:lastRenderedPageBreak/>
        <w:t xml:space="preserve">contempla que las partes podrán excluir la aplicación de </w:t>
      </w:r>
      <w:smartTag w:uri="urn:schemas-microsoft-com:office:smarttags" w:element="PersonName">
        <w:smartTagPr>
          <w:attr w:name="ProductID" w:val="la CV"/>
        </w:smartTagPr>
        <w:r w:rsidR="007E1EA1" w:rsidRPr="00E33A7C">
          <w:rPr>
            <w:rFonts w:ascii="Times New Roman" w:hAnsi="Times New Roman" w:cs="Times New Roman"/>
            <w:sz w:val="28"/>
            <w:szCs w:val="28"/>
            <w:lang w:val="es-MX"/>
          </w:rPr>
          <w:t>la CV</w:t>
        </w:r>
      </w:smartTag>
      <w:r w:rsidR="007E1EA1" w:rsidRPr="00E33A7C">
        <w:rPr>
          <w:rFonts w:ascii="Times New Roman" w:hAnsi="Times New Roman" w:cs="Times New Roman"/>
          <w:sz w:val="28"/>
          <w:szCs w:val="28"/>
          <w:lang w:val="es-MX"/>
        </w:rPr>
        <w:t>, sin perjuicio de establecer excepciones  a cualquiera de sus disposiciones o modificar sus efectos.</w:t>
      </w:r>
      <w:r w:rsidR="00901790" w:rsidRPr="00E33A7C">
        <w:rPr>
          <w:rFonts w:ascii="Times New Roman" w:hAnsi="Times New Roman" w:cs="Times New Roman"/>
          <w:sz w:val="28"/>
          <w:szCs w:val="28"/>
          <w:lang w:val="es-MX"/>
        </w:rPr>
        <w:t xml:space="preserve"> De estas disposiciones se desprende que variadas cuestiones que atañen a la compraventa internacional de mercaderías quedan al margen de </w:t>
      </w:r>
      <w:smartTag w:uri="urn:schemas-microsoft-com:office:smarttags" w:element="PersonName">
        <w:smartTagPr>
          <w:attr w:name="ProductID" w:val="la CV"/>
        </w:smartTagPr>
        <w:r w:rsidR="00901790" w:rsidRPr="00E33A7C">
          <w:rPr>
            <w:rFonts w:ascii="Times New Roman" w:hAnsi="Times New Roman" w:cs="Times New Roman"/>
            <w:sz w:val="28"/>
            <w:szCs w:val="28"/>
            <w:lang w:val="es-MX"/>
          </w:rPr>
          <w:t>la CV</w:t>
        </w:r>
      </w:smartTag>
      <w:r w:rsidR="00901790" w:rsidRPr="00E33A7C">
        <w:rPr>
          <w:rFonts w:ascii="Times New Roman" w:hAnsi="Times New Roman" w:cs="Times New Roman"/>
          <w:sz w:val="28"/>
          <w:szCs w:val="28"/>
          <w:lang w:val="es-MX"/>
        </w:rPr>
        <w:t xml:space="preserve"> y que la voluntad de las partes tiene importancia capital</w:t>
      </w:r>
      <w:r w:rsidR="007E1EA1" w:rsidRPr="00E33A7C">
        <w:rPr>
          <w:rFonts w:ascii="Times New Roman" w:hAnsi="Times New Roman" w:cs="Times New Roman"/>
          <w:sz w:val="28"/>
          <w:szCs w:val="28"/>
          <w:lang w:val="es-MX"/>
        </w:rPr>
        <w:t>,  pudiéndose afirmar</w:t>
      </w:r>
      <w:r w:rsidR="00BA140D" w:rsidRPr="00E33A7C">
        <w:rPr>
          <w:rFonts w:ascii="Times New Roman" w:hAnsi="Times New Roman" w:cs="Times New Roman"/>
          <w:sz w:val="28"/>
          <w:szCs w:val="28"/>
          <w:lang w:val="es-MX"/>
        </w:rPr>
        <w:t>,</w:t>
      </w:r>
      <w:r w:rsidR="007E1EA1" w:rsidRPr="00E33A7C">
        <w:rPr>
          <w:rFonts w:ascii="Times New Roman" w:hAnsi="Times New Roman" w:cs="Times New Roman"/>
          <w:sz w:val="28"/>
          <w:szCs w:val="28"/>
          <w:lang w:val="es-MX"/>
        </w:rPr>
        <w:t xml:space="preserve"> que en casos, </w:t>
      </w:r>
      <w:smartTag w:uri="urn:schemas-microsoft-com:office:smarttags" w:element="PersonName">
        <w:smartTagPr>
          <w:attr w:name="ProductID" w:val="la CV"/>
        </w:smartTagPr>
        <w:r w:rsidR="007E1EA1" w:rsidRPr="00E33A7C">
          <w:rPr>
            <w:rFonts w:ascii="Times New Roman" w:hAnsi="Times New Roman" w:cs="Times New Roman"/>
            <w:sz w:val="28"/>
            <w:szCs w:val="28"/>
            <w:lang w:val="es-MX"/>
          </w:rPr>
          <w:t>la CV</w:t>
        </w:r>
      </w:smartTag>
      <w:r w:rsidR="007E1EA1" w:rsidRPr="00E33A7C">
        <w:rPr>
          <w:rFonts w:ascii="Times New Roman" w:hAnsi="Times New Roman" w:cs="Times New Roman"/>
          <w:sz w:val="28"/>
          <w:szCs w:val="28"/>
          <w:lang w:val="es-MX"/>
        </w:rPr>
        <w:t xml:space="preserve"> tendría carácter supletorio.</w:t>
      </w:r>
    </w:p>
    <w:p w:rsidR="007E1EA1" w:rsidRPr="00E33A7C" w:rsidRDefault="007E1EA1" w:rsidP="003B56E1">
      <w:pPr>
        <w:spacing w:line="360" w:lineRule="auto"/>
        <w:ind w:left="357"/>
        <w:jc w:val="both"/>
        <w:rPr>
          <w:rFonts w:ascii="Times New Roman" w:hAnsi="Times New Roman" w:cs="Times New Roman"/>
          <w:sz w:val="28"/>
          <w:szCs w:val="28"/>
          <w:lang w:val="es-MX"/>
        </w:rPr>
      </w:pPr>
    </w:p>
    <w:p w:rsidR="00BA140D" w:rsidRPr="00E33A7C" w:rsidRDefault="00901790"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Los temas referentes al alcance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y a su interpretación</w:t>
      </w:r>
      <w:r w:rsidR="007E1EA1" w:rsidRPr="00E33A7C">
        <w:rPr>
          <w:rFonts w:ascii="Times New Roman" w:hAnsi="Times New Roman" w:cs="Times New Roman"/>
          <w:sz w:val="28"/>
          <w:szCs w:val="28"/>
          <w:lang w:val="es-MX"/>
        </w:rPr>
        <w:t xml:space="preserve">, desarrollados entre los </w:t>
      </w:r>
      <w:r w:rsidR="00BA140D" w:rsidRPr="00E33A7C">
        <w:rPr>
          <w:rFonts w:ascii="Times New Roman" w:hAnsi="Times New Roman" w:cs="Times New Roman"/>
          <w:sz w:val="28"/>
          <w:szCs w:val="28"/>
          <w:lang w:val="es-MX"/>
        </w:rPr>
        <w:t>artículos 7 y 9, van de la mano y deben ser analizados de consuno. Otros temas que obran en las Disposiciones Generales como la pluralidad de establecimientos y el perfeccionamiento y prueba de los contratos de compraventa internacional de mercaderías, atañen a otros ámbitos.</w:t>
      </w:r>
    </w:p>
    <w:p w:rsidR="00BA140D" w:rsidRPr="00E33A7C" w:rsidRDefault="00BA140D" w:rsidP="003B56E1">
      <w:pPr>
        <w:spacing w:line="360" w:lineRule="auto"/>
        <w:ind w:left="357"/>
        <w:jc w:val="both"/>
        <w:rPr>
          <w:rFonts w:ascii="Times New Roman" w:hAnsi="Times New Roman" w:cs="Times New Roman"/>
          <w:sz w:val="28"/>
          <w:szCs w:val="28"/>
          <w:lang w:val="es-MX"/>
        </w:rPr>
      </w:pPr>
    </w:p>
    <w:p w:rsidR="00AA1926" w:rsidRPr="00E33A7C" w:rsidRDefault="00396660"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Sobre la interpretación se asume el esquema y las proposiciones de Adame Goddard</w:t>
      </w:r>
      <w:r w:rsidRPr="00E33A7C">
        <w:rPr>
          <w:rStyle w:val="FootnoteReference"/>
          <w:rFonts w:ascii="Times New Roman" w:hAnsi="Times New Roman" w:cs="Times New Roman"/>
          <w:sz w:val="28"/>
          <w:szCs w:val="28"/>
          <w:lang w:val="es-MX"/>
        </w:rPr>
        <w:footnoteReference w:id="9"/>
      </w:r>
      <w:r w:rsidR="003952A3" w:rsidRPr="00E33A7C">
        <w:rPr>
          <w:rFonts w:ascii="Times New Roman" w:hAnsi="Times New Roman" w:cs="Times New Roman"/>
          <w:sz w:val="28"/>
          <w:szCs w:val="28"/>
          <w:lang w:val="es-MX"/>
        </w:rPr>
        <w:t xml:space="preserve">, sin dejar de advertir que de acuerdo a </w:t>
      </w:r>
      <w:smartTag w:uri="urn:schemas-microsoft-com:office:smarttags" w:element="PersonName">
        <w:smartTagPr>
          <w:attr w:name="ProductID" w:val="La Convenci￳n"/>
        </w:smartTagPr>
        <w:r w:rsidR="003952A3" w:rsidRPr="00E33A7C">
          <w:rPr>
            <w:rFonts w:ascii="Times New Roman" w:hAnsi="Times New Roman" w:cs="Times New Roman"/>
            <w:sz w:val="28"/>
            <w:szCs w:val="28"/>
            <w:lang w:val="es-MX"/>
          </w:rPr>
          <w:t>la Convención</w:t>
        </w:r>
      </w:smartTag>
      <w:r w:rsidR="003952A3" w:rsidRPr="00E33A7C">
        <w:rPr>
          <w:rFonts w:ascii="Times New Roman" w:hAnsi="Times New Roman" w:cs="Times New Roman"/>
          <w:sz w:val="28"/>
          <w:szCs w:val="28"/>
          <w:lang w:val="es-MX"/>
        </w:rPr>
        <w:t xml:space="preserve"> de </w:t>
      </w:r>
      <w:r w:rsidR="00AA1926" w:rsidRPr="00E33A7C">
        <w:rPr>
          <w:rFonts w:ascii="Times New Roman" w:hAnsi="Times New Roman" w:cs="Times New Roman"/>
          <w:sz w:val="28"/>
          <w:szCs w:val="28"/>
          <w:lang w:val="es-MX"/>
        </w:rPr>
        <w:t xml:space="preserve">Viena sobre el Derecho de los Tratados, artículo 31, </w:t>
      </w:r>
      <w:smartTag w:uri="urn:schemas-microsoft-com:office:smarttags" w:element="metricconverter">
        <w:smartTagPr>
          <w:attr w:name="ProductID" w:val="3 a"/>
        </w:smartTagPr>
        <w:r w:rsidR="00AA1926" w:rsidRPr="00E33A7C">
          <w:rPr>
            <w:rFonts w:ascii="Times New Roman" w:hAnsi="Times New Roman" w:cs="Times New Roman"/>
            <w:sz w:val="28"/>
            <w:szCs w:val="28"/>
            <w:lang w:val="es-MX"/>
          </w:rPr>
          <w:t>3 a</w:t>
        </w:r>
      </w:smartTag>
      <w:r w:rsidR="00AA1926" w:rsidRPr="00E33A7C">
        <w:rPr>
          <w:rFonts w:ascii="Times New Roman" w:hAnsi="Times New Roman" w:cs="Times New Roman"/>
          <w:sz w:val="28"/>
          <w:szCs w:val="28"/>
          <w:lang w:val="es-MX"/>
        </w:rPr>
        <w:t xml:space="preserve">), la interpretación auténtica ocurre por todo acuerdo ulterior entre las partes acerca de la interpretación del tratado o de la aplicación de sus disposiciones y que la interpretación de los tratados con valor obligatorio puede darse por parte de </w:t>
      </w:r>
      <w:smartTag w:uri="urn:schemas-microsoft-com:office:smarttags" w:element="PersonName">
        <w:smartTagPr>
          <w:attr w:name="ProductID" w:val="la Corte Internacional"/>
        </w:smartTagPr>
        <w:smartTag w:uri="urn:schemas-microsoft-com:office:smarttags" w:element="PersonName">
          <w:smartTagPr>
            <w:attr w:name="ProductID" w:val="la Corte"/>
          </w:smartTagPr>
          <w:r w:rsidR="00AA1926" w:rsidRPr="00E33A7C">
            <w:rPr>
              <w:rFonts w:ascii="Times New Roman" w:hAnsi="Times New Roman" w:cs="Times New Roman"/>
              <w:sz w:val="28"/>
              <w:szCs w:val="28"/>
              <w:lang w:val="es-MX"/>
            </w:rPr>
            <w:t>la Corte</w:t>
          </w:r>
        </w:smartTag>
        <w:r w:rsidR="00AA1926" w:rsidRPr="00E33A7C">
          <w:rPr>
            <w:rFonts w:ascii="Times New Roman" w:hAnsi="Times New Roman" w:cs="Times New Roman"/>
            <w:sz w:val="28"/>
            <w:szCs w:val="28"/>
            <w:lang w:val="es-MX"/>
          </w:rPr>
          <w:t xml:space="preserve"> Internacional</w:t>
        </w:r>
      </w:smartTag>
      <w:r w:rsidR="00AA1926" w:rsidRPr="00E33A7C">
        <w:rPr>
          <w:rFonts w:ascii="Times New Roman" w:hAnsi="Times New Roman" w:cs="Times New Roman"/>
          <w:sz w:val="28"/>
          <w:szCs w:val="28"/>
          <w:lang w:val="es-MX"/>
        </w:rPr>
        <w:t xml:space="preserve"> de Justicia por pedido de las partes, al tenor del artículo 36 2) a) del Estatuto del</w:t>
      </w:r>
      <w:r w:rsidR="00CF060C" w:rsidRPr="00E33A7C">
        <w:rPr>
          <w:rFonts w:ascii="Times New Roman" w:hAnsi="Times New Roman" w:cs="Times New Roman"/>
          <w:sz w:val="28"/>
          <w:szCs w:val="28"/>
          <w:lang w:val="es-MX"/>
        </w:rPr>
        <w:t xml:space="preserve"> Alto</w:t>
      </w:r>
      <w:r w:rsidR="00AA1926" w:rsidRPr="00E33A7C">
        <w:rPr>
          <w:rFonts w:ascii="Times New Roman" w:hAnsi="Times New Roman" w:cs="Times New Roman"/>
          <w:sz w:val="28"/>
          <w:szCs w:val="28"/>
          <w:lang w:val="es-MX"/>
        </w:rPr>
        <w:t xml:space="preserve"> Tribunal.</w:t>
      </w:r>
    </w:p>
    <w:p w:rsidR="00823737" w:rsidRPr="00E33A7C" w:rsidRDefault="00823737" w:rsidP="003B56E1">
      <w:pPr>
        <w:spacing w:line="360" w:lineRule="auto"/>
        <w:ind w:left="357"/>
        <w:jc w:val="both"/>
        <w:rPr>
          <w:rFonts w:ascii="Times New Roman" w:hAnsi="Times New Roman" w:cs="Times New Roman"/>
          <w:sz w:val="28"/>
          <w:szCs w:val="28"/>
          <w:lang w:val="es-MX"/>
        </w:rPr>
      </w:pPr>
    </w:p>
    <w:p w:rsidR="00A767F5" w:rsidRPr="00E33A7C" w:rsidRDefault="00823737"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La interpretación internacional significa que se la ha de hacer con independencia del derecho nacional y particularmente del sistema </w:t>
      </w:r>
      <w:r w:rsidRPr="00E33A7C">
        <w:rPr>
          <w:rFonts w:ascii="Times New Roman" w:hAnsi="Times New Roman" w:cs="Times New Roman"/>
          <w:sz w:val="28"/>
          <w:szCs w:val="28"/>
          <w:lang w:val="es-MX"/>
        </w:rPr>
        <w:lastRenderedPageBreak/>
        <w:t xml:space="preserve">jurídico al cual pertenece. No se debe olvidar que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ha de aplicarse a países que pertenecen al </w:t>
      </w:r>
      <w:r w:rsidRPr="00E33A7C">
        <w:rPr>
          <w:rFonts w:ascii="Times New Roman" w:hAnsi="Times New Roman" w:cs="Times New Roman"/>
          <w:i/>
          <w:sz w:val="28"/>
          <w:szCs w:val="28"/>
          <w:lang w:val="es-MX"/>
        </w:rPr>
        <w:t>common law</w:t>
      </w:r>
      <w:r w:rsidRPr="00E33A7C">
        <w:rPr>
          <w:rFonts w:ascii="Times New Roman" w:hAnsi="Times New Roman" w:cs="Times New Roman"/>
          <w:sz w:val="28"/>
          <w:szCs w:val="28"/>
          <w:lang w:val="es-MX"/>
        </w:rPr>
        <w:t xml:space="preserve"> y al </w:t>
      </w:r>
      <w:r w:rsidRPr="00E33A7C">
        <w:rPr>
          <w:rFonts w:ascii="Times New Roman" w:hAnsi="Times New Roman" w:cs="Times New Roman"/>
          <w:i/>
          <w:sz w:val="28"/>
          <w:szCs w:val="28"/>
          <w:lang w:val="es-MX"/>
        </w:rPr>
        <w:t>continental law</w:t>
      </w:r>
      <w:r w:rsidRPr="00E33A7C">
        <w:rPr>
          <w:rFonts w:ascii="Times New Roman" w:hAnsi="Times New Roman" w:cs="Times New Roman"/>
          <w:sz w:val="28"/>
          <w:szCs w:val="28"/>
          <w:lang w:val="es-MX"/>
        </w:rPr>
        <w:t>. Habría que tener presente que existe cada vez más relación con los países islámicos que tienen un sistema jurídico que a grandes rasgos representan una tercera posición.</w:t>
      </w:r>
      <w:r w:rsidR="00A767F5" w:rsidRPr="00E33A7C">
        <w:rPr>
          <w:rFonts w:ascii="Times New Roman" w:hAnsi="Times New Roman" w:cs="Times New Roman"/>
          <w:sz w:val="28"/>
          <w:szCs w:val="28"/>
          <w:lang w:val="es-MX"/>
        </w:rPr>
        <w:t xml:space="preserve">.Adame Goddard dice muy expresivamente que, </w:t>
      </w:r>
      <w:r w:rsidR="00A767F5" w:rsidRPr="00E33A7C">
        <w:rPr>
          <w:rFonts w:ascii="Times New Roman" w:hAnsi="Times New Roman" w:cs="Times New Roman"/>
          <w:i/>
          <w:sz w:val="28"/>
          <w:szCs w:val="28"/>
          <w:lang w:val="es-MX"/>
        </w:rPr>
        <w:t xml:space="preserve">Desde un punto de vista positivo, la interpretación internacional significa que </w:t>
      </w:r>
      <w:smartTag w:uri="urn:schemas-microsoft-com:office:smarttags" w:element="PersonName">
        <w:smartTagPr>
          <w:attr w:name="ProductID" w:val="La Convenci￳n"/>
        </w:smartTagPr>
        <w:r w:rsidR="00A767F5" w:rsidRPr="00E33A7C">
          <w:rPr>
            <w:rFonts w:ascii="Times New Roman" w:hAnsi="Times New Roman" w:cs="Times New Roman"/>
            <w:i/>
            <w:sz w:val="28"/>
            <w:szCs w:val="28"/>
            <w:lang w:val="es-MX"/>
          </w:rPr>
          <w:t>la Convención</w:t>
        </w:r>
      </w:smartTag>
      <w:r w:rsidR="00A767F5" w:rsidRPr="00E33A7C">
        <w:rPr>
          <w:rFonts w:ascii="Times New Roman" w:hAnsi="Times New Roman" w:cs="Times New Roman"/>
          <w:i/>
          <w:sz w:val="28"/>
          <w:szCs w:val="28"/>
          <w:lang w:val="es-MX"/>
        </w:rPr>
        <w:t xml:space="preserve"> debe interpretarse de manera autónoma</w:t>
      </w:r>
      <w:r w:rsidR="00A767F5" w:rsidRPr="00E33A7C">
        <w:rPr>
          <w:rFonts w:ascii="Times New Roman" w:hAnsi="Times New Roman" w:cs="Times New Roman"/>
          <w:sz w:val="28"/>
          <w:szCs w:val="28"/>
          <w:lang w:val="es-MX"/>
        </w:rPr>
        <w:t xml:space="preserve">. Añade, </w:t>
      </w:r>
      <w:r w:rsidR="00A767F5" w:rsidRPr="00E33A7C">
        <w:rPr>
          <w:rFonts w:ascii="Times New Roman" w:hAnsi="Times New Roman" w:cs="Times New Roman"/>
          <w:i/>
          <w:sz w:val="28"/>
          <w:szCs w:val="28"/>
          <w:lang w:val="es-MX"/>
        </w:rPr>
        <w:t xml:space="preserve">La interpretación autónoma de </w:t>
      </w:r>
      <w:smartTag w:uri="urn:schemas-microsoft-com:office:smarttags" w:element="PersonName">
        <w:smartTagPr>
          <w:attr w:name="ProductID" w:val="La Convenci￳n"/>
        </w:smartTagPr>
        <w:r w:rsidR="00A767F5" w:rsidRPr="00E33A7C">
          <w:rPr>
            <w:rFonts w:ascii="Times New Roman" w:hAnsi="Times New Roman" w:cs="Times New Roman"/>
            <w:i/>
            <w:sz w:val="28"/>
            <w:szCs w:val="28"/>
            <w:lang w:val="es-MX"/>
          </w:rPr>
          <w:t>la Convención</w:t>
        </w:r>
      </w:smartTag>
      <w:r w:rsidR="00A767F5" w:rsidRPr="00E33A7C">
        <w:rPr>
          <w:rFonts w:ascii="Times New Roman" w:hAnsi="Times New Roman" w:cs="Times New Roman"/>
          <w:i/>
          <w:sz w:val="28"/>
          <w:szCs w:val="28"/>
          <w:lang w:val="es-MX"/>
        </w:rPr>
        <w:t xml:space="preserve"> exige  que ella sea</w:t>
      </w:r>
      <w:r w:rsidR="00A0200F">
        <w:rPr>
          <w:rFonts w:ascii="Times New Roman" w:hAnsi="Times New Roman" w:cs="Times New Roman"/>
          <w:i/>
          <w:sz w:val="28"/>
          <w:szCs w:val="28"/>
          <w:lang w:val="es-MX"/>
        </w:rPr>
        <w:t>,</w:t>
      </w:r>
      <w:r w:rsidR="00A767F5" w:rsidRPr="00E33A7C">
        <w:rPr>
          <w:rFonts w:ascii="Times New Roman" w:hAnsi="Times New Roman" w:cs="Times New Roman"/>
          <w:i/>
          <w:sz w:val="28"/>
          <w:szCs w:val="28"/>
          <w:lang w:val="es-MX"/>
        </w:rPr>
        <w:t xml:space="preserve"> en cuanto sea posible, interpretada por sí misma</w:t>
      </w:r>
      <w:r w:rsidR="00A767F5" w:rsidRPr="00E33A7C">
        <w:rPr>
          <w:rStyle w:val="FootnoteReference"/>
          <w:rFonts w:ascii="Times New Roman" w:hAnsi="Times New Roman" w:cs="Times New Roman"/>
          <w:i/>
          <w:sz w:val="28"/>
          <w:szCs w:val="28"/>
          <w:lang w:val="es-MX"/>
        </w:rPr>
        <w:footnoteReference w:id="10"/>
      </w:r>
      <w:r w:rsidR="00A767F5" w:rsidRPr="00E33A7C">
        <w:rPr>
          <w:rFonts w:ascii="Times New Roman" w:hAnsi="Times New Roman" w:cs="Times New Roman"/>
          <w:sz w:val="28"/>
          <w:szCs w:val="28"/>
          <w:lang w:val="es-MX"/>
        </w:rPr>
        <w:t>.</w:t>
      </w:r>
    </w:p>
    <w:p w:rsidR="00A767F5" w:rsidRPr="00E33A7C" w:rsidRDefault="00A767F5" w:rsidP="003B56E1">
      <w:pPr>
        <w:spacing w:line="360" w:lineRule="auto"/>
        <w:ind w:left="357"/>
        <w:jc w:val="both"/>
        <w:rPr>
          <w:rFonts w:ascii="Times New Roman" w:hAnsi="Times New Roman" w:cs="Times New Roman"/>
          <w:sz w:val="28"/>
          <w:szCs w:val="28"/>
          <w:lang w:val="es-MX"/>
        </w:rPr>
      </w:pPr>
    </w:p>
    <w:p w:rsidR="00823737" w:rsidRPr="00E33A7C" w:rsidRDefault="00A767F5"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principio de buena fe se refiere </w:t>
      </w:r>
      <w:r w:rsidR="004C7053" w:rsidRPr="00E33A7C">
        <w:rPr>
          <w:rFonts w:ascii="Times New Roman" w:hAnsi="Times New Roman" w:cs="Times New Roman"/>
          <w:sz w:val="28"/>
          <w:szCs w:val="28"/>
          <w:lang w:val="es-MX"/>
        </w:rPr>
        <w:t>no sólo al comportamiento de las partes cuanto al sentido de la interpretación. Tiene que referirse al mantenimiento del equilibrio de las prestaciones y a la reciprocidad entre las partes.</w:t>
      </w:r>
      <w:r w:rsidR="00B36E85" w:rsidRPr="00E33A7C">
        <w:rPr>
          <w:rFonts w:ascii="Times New Roman" w:hAnsi="Times New Roman" w:cs="Times New Roman"/>
          <w:sz w:val="28"/>
          <w:szCs w:val="28"/>
          <w:lang w:val="es-MX"/>
        </w:rPr>
        <w:t xml:space="preserve"> La buen fe, a más de criterio de interpretación, está presente en otros aspectos cuales son</w:t>
      </w:r>
      <w:r w:rsidRPr="00E33A7C">
        <w:rPr>
          <w:rFonts w:ascii="Times New Roman" w:hAnsi="Times New Roman" w:cs="Times New Roman"/>
          <w:sz w:val="28"/>
          <w:szCs w:val="28"/>
          <w:lang w:val="es-MX"/>
        </w:rPr>
        <w:t xml:space="preserve"> </w:t>
      </w:r>
      <w:r w:rsidR="00B36E85" w:rsidRPr="00E33A7C">
        <w:rPr>
          <w:rFonts w:ascii="Times New Roman" w:hAnsi="Times New Roman" w:cs="Times New Roman"/>
          <w:sz w:val="28"/>
          <w:szCs w:val="28"/>
          <w:lang w:val="es-MX"/>
        </w:rPr>
        <w:t>la conformidad de las mercaderías, la conservación de las mercaderías, la ejecución y formación del contrato, la imposibilidad de ejecución, la suspensión del contrato. En general preside y alienta la contratación.</w:t>
      </w:r>
    </w:p>
    <w:p w:rsidR="00B36E85" w:rsidRPr="00E33A7C" w:rsidRDefault="00B36E85" w:rsidP="003B56E1">
      <w:pPr>
        <w:spacing w:line="360" w:lineRule="auto"/>
        <w:ind w:left="357"/>
        <w:jc w:val="both"/>
        <w:rPr>
          <w:rFonts w:ascii="Times New Roman" w:hAnsi="Times New Roman" w:cs="Times New Roman"/>
          <w:sz w:val="28"/>
          <w:szCs w:val="28"/>
          <w:lang w:val="es-MX"/>
        </w:rPr>
      </w:pPr>
    </w:p>
    <w:p w:rsidR="00F632C4" w:rsidRPr="00E33A7C" w:rsidRDefault="00B36E85"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La integración de las lagunas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00B72B34" w:rsidRPr="00E33A7C">
        <w:rPr>
          <w:rFonts w:ascii="Times New Roman" w:hAnsi="Times New Roman" w:cs="Times New Roman"/>
          <w:sz w:val="28"/>
          <w:szCs w:val="28"/>
          <w:lang w:val="es-MX"/>
        </w:rPr>
        <w:t xml:space="preserve"> se </w:t>
      </w:r>
      <w:r w:rsidR="00036844" w:rsidRPr="00E33A7C">
        <w:rPr>
          <w:rFonts w:ascii="Times New Roman" w:hAnsi="Times New Roman" w:cs="Times New Roman"/>
          <w:sz w:val="28"/>
          <w:szCs w:val="28"/>
          <w:lang w:val="es-MX"/>
        </w:rPr>
        <w:t>resuelve</w:t>
      </w:r>
      <w:r w:rsidR="00B72B34" w:rsidRPr="00E33A7C">
        <w:rPr>
          <w:rFonts w:ascii="Times New Roman" w:hAnsi="Times New Roman" w:cs="Times New Roman"/>
          <w:sz w:val="28"/>
          <w:szCs w:val="28"/>
          <w:lang w:val="es-MX"/>
        </w:rPr>
        <w:t xml:space="preserve"> en el artículo 7 2) de la misma. Dice que en tal  </w:t>
      </w:r>
      <w:r w:rsidR="00204300">
        <w:rPr>
          <w:rFonts w:ascii="Times New Roman" w:hAnsi="Times New Roman" w:cs="Times New Roman"/>
          <w:sz w:val="28"/>
          <w:szCs w:val="28"/>
          <w:lang w:val="es-MX"/>
        </w:rPr>
        <w:t>c</w:t>
      </w:r>
      <w:r w:rsidR="00B72B34" w:rsidRPr="00E33A7C">
        <w:rPr>
          <w:rFonts w:ascii="Times New Roman" w:hAnsi="Times New Roman" w:cs="Times New Roman"/>
          <w:sz w:val="28"/>
          <w:szCs w:val="28"/>
          <w:lang w:val="es-MX"/>
        </w:rPr>
        <w:t xml:space="preserve">aso se acudirá a los principios de </w:t>
      </w:r>
      <w:smartTag w:uri="urn:schemas-microsoft-com:office:smarttags" w:element="PersonName">
        <w:smartTagPr>
          <w:attr w:name="ProductID" w:val="la CV"/>
        </w:smartTagPr>
        <w:r w:rsidR="00B72B34" w:rsidRPr="00E33A7C">
          <w:rPr>
            <w:rFonts w:ascii="Times New Roman" w:hAnsi="Times New Roman" w:cs="Times New Roman"/>
            <w:sz w:val="28"/>
            <w:szCs w:val="28"/>
            <w:lang w:val="es-MX"/>
          </w:rPr>
          <w:t>la CV</w:t>
        </w:r>
      </w:smartTag>
      <w:r w:rsidR="00B72B34" w:rsidRPr="00E33A7C">
        <w:rPr>
          <w:rFonts w:ascii="Times New Roman" w:hAnsi="Times New Roman" w:cs="Times New Roman"/>
          <w:sz w:val="28"/>
          <w:szCs w:val="28"/>
          <w:lang w:val="es-MX"/>
        </w:rPr>
        <w:t xml:space="preserve"> o con la ley aplicable según las disposiciones del derecho </w:t>
      </w:r>
      <w:r w:rsidR="00036844" w:rsidRPr="00E33A7C">
        <w:rPr>
          <w:rFonts w:ascii="Times New Roman" w:hAnsi="Times New Roman" w:cs="Times New Roman"/>
          <w:sz w:val="28"/>
          <w:szCs w:val="28"/>
          <w:lang w:val="es-MX"/>
        </w:rPr>
        <w:t>internacional</w:t>
      </w:r>
      <w:r w:rsidR="00B72B34" w:rsidRPr="00E33A7C">
        <w:rPr>
          <w:rFonts w:ascii="Times New Roman" w:hAnsi="Times New Roman" w:cs="Times New Roman"/>
          <w:sz w:val="28"/>
          <w:szCs w:val="28"/>
          <w:lang w:val="es-MX"/>
        </w:rPr>
        <w:t xml:space="preserve"> privado. Calvo Caravaca</w:t>
      </w:r>
      <w:r w:rsidR="00036844" w:rsidRPr="00E33A7C">
        <w:rPr>
          <w:rStyle w:val="FootnoteReference"/>
          <w:rFonts w:ascii="Times New Roman" w:hAnsi="Times New Roman" w:cs="Times New Roman"/>
          <w:sz w:val="28"/>
          <w:szCs w:val="28"/>
          <w:lang w:val="es-MX"/>
        </w:rPr>
        <w:footnoteReference w:id="11"/>
      </w:r>
      <w:r w:rsidR="00036844" w:rsidRPr="00E33A7C">
        <w:rPr>
          <w:rFonts w:ascii="Times New Roman" w:hAnsi="Times New Roman" w:cs="Times New Roman"/>
          <w:sz w:val="28"/>
          <w:szCs w:val="28"/>
          <w:lang w:val="es-MX"/>
        </w:rPr>
        <w:t xml:space="preserve">, enuncia tres cuestiones principales sobre los principios generales,  su justificación, el precisar cuáles son y el momento en que han de aplicarse. La aplicación del derecho nacional que corresponda según las disposiciones del derecho internacional privado debe ser el último arbitrio para conservar el carácter </w:t>
      </w:r>
      <w:r w:rsidR="00036844" w:rsidRPr="00E33A7C">
        <w:rPr>
          <w:rFonts w:ascii="Times New Roman" w:hAnsi="Times New Roman" w:cs="Times New Roman"/>
          <w:sz w:val="28"/>
          <w:szCs w:val="28"/>
          <w:lang w:val="es-MX"/>
        </w:rPr>
        <w:lastRenderedPageBreak/>
        <w:t xml:space="preserve">internacional de </w:t>
      </w:r>
      <w:smartTag w:uri="urn:schemas-microsoft-com:office:smarttags" w:element="PersonName">
        <w:smartTagPr>
          <w:attr w:name="ProductID" w:val="la Convenci￳n. Es"/>
        </w:smartTagPr>
        <w:smartTag w:uri="urn:schemas-microsoft-com:office:smarttags" w:element="PersonName">
          <w:smartTagPr>
            <w:attr w:name="ProductID" w:val="la Convenci￳n."/>
          </w:smartTagPr>
          <w:r w:rsidR="00036844" w:rsidRPr="00E33A7C">
            <w:rPr>
              <w:rFonts w:ascii="Times New Roman" w:hAnsi="Times New Roman" w:cs="Times New Roman"/>
              <w:sz w:val="28"/>
              <w:szCs w:val="28"/>
              <w:lang w:val="es-MX"/>
            </w:rPr>
            <w:t>la Convención.</w:t>
          </w:r>
        </w:smartTag>
        <w:r w:rsidR="00036844" w:rsidRPr="00E33A7C">
          <w:rPr>
            <w:rFonts w:ascii="Times New Roman" w:hAnsi="Times New Roman" w:cs="Times New Roman"/>
            <w:sz w:val="28"/>
            <w:szCs w:val="28"/>
            <w:lang w:val="es-MX"/>
          </w:rPr>
          <w:t xml:space="preserve"> Es</w:t>
        </w:r>
      </w:smartTag>
      <w:r w:rsidR="00036844" w:rsidRPr="00E33A7C">
        <w:rPr>
          <w:rFonts w:ascii="Times New Roman" w:hAnsi="Times New Roman" w:cs="Times New Roman"/>
          <w:sz w:val="28"/>
          <w:szCs w:val="28"/>
          <w:lang w:val="es-MX"/>
        </w:rPr>
        <w:t xml:space="preserve"> indudable que se ha de tener en cuenta las Convenciones de Viena sobre los tratados en la parte que no se oponga  a </w:t>
      </w:r>
      <w:smartTag w:uri="urn:schemas-microsoft-com:office:smarttags" w:element="PersonName">
        <w:smartTagPr>
          <w:attr w:name="ProductID" w:val="la CV. La"/>
        </w:smartTagPr>
        <w:smartTag w:uri="urn:schemas-microsoft-com:office:smarttags" w:element="PersonName">
          <w:smartTagPr>
            <w:attr w:name="ProductID" w:val="la CV."/>
          </w:smartTagPr>
          <w:r w:rsidR="00036844" w:rsidRPr="00E33A7C">
            <w:rPr>
              <w:rFonts w:ascii="Times New Roman" w:hAnsi="Times New Roman" w:cs="Times New Roman"/>
              <w:sz w:val="28"/>
              <w:szCs w:val="28"/>
              <w:lang w:val="es-MX"/>
            </w:rPr>
            <w:t>la CV.</w:t>
          </w:r>
        </w:smartTag>
        <w:r w:rsidR="001F6A3A" w:rsidRPr="00E33A7C">
          <w:rPr>
            <w:rFonts w:ascii="Times New Roman" w:hAnsi="Times New Roman" w:cs="Times New Roman"/>
            <w:sz w:val="28"/>
            <w:szCs w:val="28"/>
            <w:lang w:val="es-MX"/>
          </w:rPr>
          <w:t xml:space="preserve"> La</w:t>
        </w:r>
      </w:smartTag>
      <w:r w:rsidR="001F6A3A" w:rsidRPr="00E33A7C">
        <w:rPr>
          <w:rFonts w:ascii="Times New Roman" w:hAnsi="Times New Roman" w:cs="Times New Roman"/>
          <w:sz w:val="28"/>
          <w:szCs w:val="28"/>
          <w:lang w:val="es-MX"/>
        </w:rPr>
        <w:t xml:space="preserve"> integración de la ley y también de los tratados considera que la misma constituye un fenómeno histórico que se produce atentas circunstancias determinadas y que cuando éstas se modifican radicalmente es necesario interpretarla de acuerdo a ellas, fenómeno denominado </w:t>
      </w:r>
      <w:r w:rsidR="001F6A3A" w:rsidRPr="00E33A7C">
        <w:rPr>
          <w:rFonts w:ascii="Times New Roman" w:hAnsi="Times New Roman" w:cs="Times New Roman"/>
          <w:i/>
          <w:sz w:val="28"/>
          <w:szCs w:val="28"/>
          <w:lang w:val="es-MX"/>
        </w:rPr>
        <w:t>integración de la ley</w:t>
      </w:r>
      <w:r w:rsidR="001F6A3A" w:rsidRPr="00E33A7C">
        <w:rPr>
          <w:rFonts w:ascii="Times New Roman" w:hAnsi="Times New Roman" w:cs="Times New Roman"/>
          <w:sz w:val="28"/>
          <w:szCs w:val="28"/>
          <w:lang w:val="es-MX"/>
        </w:rPr>
        <w:t xml:space="preserve">, y que tiene como basamento la consideración que el legislador tiene en mientes en su labor de expedir normas generales y obligatorias, esquemas o sistemas igualmente generales. Es una respuesta actual al cambio trascendente del entorno que, obviamente, ha de ser una respuesta excepcional, no fácil e inmediatista. Esta tesis </w:t>
      </w:r>
      <w:r w:rsidR="00014CE6" w:rsidRPr="00E33A7C">
        <w:rPr>
          <w:rFonts w:ascii="Times New Roman" w:hAnsi="Times New Roman" w:cs="Times New Roman"/>
          <w:sz w:val="28"/>
          <w:szCs w:val="28"/>
          <w:lang w:val="es-MX"/>
        </w:rPr>
        <w:t xml:space="preserve">es similar </w:t>
      </w:r>
      <w:r w:rsidR="001F6A3A" w:rsidRPr="00E33A7C">
        <w:rPr>
          <w:rFonts w:ascii="Times New Roman" w:hAnsi="Times New Roman" w:cs="Times New Roman"/>
          <w:sz w:val="28"/>
          <w:szCs w:val="28"/>
          <w:lang w:val="es-MX"/>
        </w:rPr>
        <w:t>a</w:t>
      </w:r>
      <w:r w:rsidR="00014CE6" w:rsidRPr="00E33A7C">
        <w:rPr>
          <w:rFonts w:ascii="Times New Roman" w:hAnsi="Times New Roman" w:cs="Times New Roman"/>
          <w:sz w:val="28"/>
          <w:szCs w:val="28"/>
          <w:lang w:val="es-MX"/>
        </w:rPr>
        <w:t xml:space="preserve"> la</w:t>
      </w:r>
      <w:r w:rsidR="001F6A3A" w:rsidRPr="00E33A7C">
        <w:rPr>
          <w:rFonts w:ascii="Times New Roman" w:hAnsi="Times New Roman" w:cs="Times New Roman"/>
          <w:sz w:val="28"/>
          <w:szCs w:val="28"/>
          <w:lang w:val="es-MX"/>
        </w:rPr>
        <w:t xml:space="preserve"> admisión del </w:t>
      </w:r>
      <w:r w:rsidR="001F6A3A" w:rsidRPr="00E33A7C">
        <w:rPr>
          <w:rFonts w:ascii="Times New Roman" w:hAnsi="Times New Roman" w:cs="Times New Roman"/>
          <w:i/>
          <w:sz w:val="28"/>
          <w:szCs w:val="28"/>
          <w:lang w:val="es-MX"/>
        </w:rPr>
        <w:t>rebus sic stantibus</w:t>
      </w:r>
      <w:r w:rsidR="001F6A3A" w:rsidRPr="00E33A7C">
        <w:rPr>
          <w:rFonts w:ascii="Times New Roman" w:hAnsi="Times New Roman" w:cs="Times New Roman"/>
          <w:sz w:val="28"/>
          <w:szCs w:val="28"/>
          <w:lang w:val="es-MX"/>
        </w:rPr>
        <w:t xml:space="preserve"> de </w:t>
      </w:r>
      <w:smartTag w:uri="urn:schemas-microsoft-com:office:smarttags" w:element="PersonName">
        <w:smartTagPr>
          <w:attr w:name="ProductID" w:val="La Convenci￳n"/>
        </w:smartTagPr>
        <w:r w:rsidR="001F6A3A" w:rsidRPr="00E33A7C">
          <w:rPr>
            <w:rFonts w:ascii="Times New Roman" w:hAnsi="Times New Roman" w:cs="Times New Roman"/>
            <w:sz w:val="28"/>
            <w:szCs w:val="28"/>
            <w:lang w:val="es-MX"/>
          </w:rPr>
          <w:t>la Convención</w:t>
        </w:r>
      </w:smartTag>
      <w:r w:rsidR="001F6A3A" w:rsidRPr="00E33A7C">
        <w:rPr>
          <w:rFonts w:ascii="Times New Roman" w:hAnsi="Times New Roman" w:cs="Times New Roman"/>
          <w:sz w:val="28"/>
          <w:szCs w:val="28"/>
          <w:lang w:val="es-MX"/>
        </w:rPr>
        <w:t xml:space="preserve"> de Viena sobre los tratados</w:t>
      </w:r>
      <w:r w:rsidR="001F6A3A" w:rsidRPr="00E33A7C">
        <w:rPr>
          <w:rStyle w:val="FootnoteReference"/>
          <w:rFonts w:ascii="Times New Roman" w:hAnsi="Times New Roman" w:cs="Times New Roman"/>
          <w:sz w:val="28"/>
          <w:szCs w:val="28"/>
          <w:lang w:val="es-MX"/>
        </w:rPr>
        <w:footnoteReference w:id="12"/>
      </w:r>
      <w:r w:rsidR="001F6A3A" w:rsidRPr="00E33A7C">
        <w:rPr>
          <w:rFonts w:ascii="Times New Roman" w:hAnsi="Times New Roman" w:cs="Times New Roman"/>
          <w:sz w:val="28"/>
          <w:szCs w:val="28"/>
          <w:lang w:val="es-MX"/>
        </w:rPr>
        <w:t>.</w:t>
      </w:r>
    </w:p>
    <w:p w:rsidR="007E422F" w:rsidRPr="00E33A7C" w:rsidRDefault="007E422F" w:rsidP="003B56E1">
      <w:pPr>
        <w:spacing w:line="360" w:lineRule="auto"/>
        <w:ind w:left="357"/>
        <w:jc w:val="both"/>
        <w:rPr>
          <w:rFonts w:ascii="Times New Roman" w:hAnsi="Times New Roman" w:cs="Times New Roman"/>
          <w:sz w:val="28"/>
          <w:szCs w:val="28"/>
          <w:lang w:val="es-MX"/>
        </w:rPr>
      </w:pPr>
    </w:p>
    <w:p w:rsidR="007E422F" w:rsidRPr="00E33A7C" w:rsidRDefault="00A60ED8"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8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se refiere a la interpretación de acuerdo a la conducta de las partes. El numeral 1 concierne a la intención de las partes. El numeral </w:t>
      </w:r>
      <w:smartTag w:uri="urn:schemas-microsoft-com:office:smarttags" w:element="metricconverter">
        <w:smartTagPr>
          <w:attr w:name="ProductID" w:val="2 ha"/>
        </w:smartTagPr>
        <w:r w:rsidRPr="00E33A7C">
          <w:rPr>
            <w:rFonts w:ascii="Times New Roman" w:hAnsi="Times New Roman" w:cs="Times New Roman"/>
            <w:sz w:val="28"/>
            <w:szCs w:val="28"/>
            <w:lang w:val="es-MX"/>
          </w:rPr>
          <w:t>2 ha</w:t>
        </w:r>
      </w:smartTag>
      <w:r w:rsidRPr="00E33A7C">
        <w:rPr>
          <w:rFonts w:ascii="Times New Roman" w:hAnsi="Times New Roman" w:cs="Times New Roman"/>
          <w:sz w:val="28"/>
          <w:szCs w:val="28"/>
          <w:lang w:val="es-MX"/>
        </w:rPr>
        <w:t xml:space="preserve"> de aplicarse en forma subsidiaria y dice </w:t>
      </w:r>
      <w:r w:rsidRPr="00E33A7C">
        <w:rPr>
          <w:rFonts w:ascii="Times New Roman" w:hAnsi="Times New Roman" w:cs="Times New Roman"/>
          <w:i/>
          <w:sz w:val="28"/>
          <w:szCs w:val="28"/>
          <w:lang w:val="es-MX"/>
        </w:rPr>
        <w:t>que las declaraciones y otros actos de una parte deberán interpretarse conforme al sentido que les habría dado en igual situación una persona razonable de la misma condición que la otra parte</w:t>
      </w:r>
      <w:r w:rsidRPr="00E33A7C">
        <w:rPr>
          <w:rFonts w:ascii="Times New Roman" w:hAnsi="Times New Roman" w:cs="Times New Roman"/>
          <w:sz w:val="28"/>
          <w:szCs w:val="28"/>
          <w:lang w:val="es-MX"/>
        </w:rPr>
        <w:t>. El numeral 3 señala</w:t>
      </w:r>
      <w:r w:rsidR="00846F89" w:rsidRPr="00E33A7C">
        <w:rPr>
          <w:rFonts w:ascii="Times New Roman" w:hAnsi="Times New Roman" w:cs="Times New Roman"/>
          <w:sz w:val="28"/>
          <w:szCs w:val="28"/>
          <w:lang w:val="es-MX"/>
        </w:rPr>
        <w:t xml:space="preserve"> que </w:t>
      </w:r>
      <w:r w:rsidR="00846F89" w:rsidRPr="00E33A7C">
        <w:rPr>
          <w:rFonts w:ascii="Times New Roman" w:hAnsi="Times New Roman" w:cs="Times New Roman"/>
          <w:i/>
          <w:sz w:val="28"/>
          <w:szCs w:val="28"/>
          <w:lang w:val="es-MX"/>
        </w:rPr>
        <w:t>para determinar la intención de una parte o el sentido que habría dado una persona razonable deberán tenerse debidamente en cuenta todas las circunstancias pertinentes del caso, en particular las negociaciones, cuales quiera práctica que  las partes hubieran establecido entre ellas, los usos y el comportamiento ulterior de las partes</w:t>
      </w:r>
      <w:r w:rsidR="00846F89" w:rsidRPr="00E33A7C">
        <w:rPr>
          <w:rFonts w:ascii="Times New Roman" w:hAnsi="Times New Roman" w:cs="Times New Roman"/>
          <w:sz w:val="28"/>
          <w:szCs w:val="28"/>
          <w:lang w:val="es-MX"/>
        </w:rPr>
        <w:t>. Marzoratti, alrededor de estas reglas que no son de fácil inteligencia  y comprensión, dentro del Ítem respectivo</w:t>
      </w:r>
      <w:r w:rsidR="00570284" w:rsidRPr="00E33A7C">
        <w:rPr>
          <w:rFonts w:ascii="Times New Roman" w:hAnsi="Times New Roman" w:cs="Times New Roman"/>
          <w:sz w:val="28"/>
          <w:szCs w:val="28"/>
          <w:lang w:val="es-MX"/>
        </w:rPr>
        <w:t>,</w:t>
      </w:r>
      <w:r w:rsidR="00846F89" w:rsidRPr="00E33A7C">
        <w:rPr>
          <w:rFonts w:ascii="Times New Roman" w:hAnsi="Times New Roman" w:cs="Times New Roman"/>
          <w:sz w:val="28"/>
          <w:szCs w:val="28"/>
          <w:lang w:val="es-MX"/>
        </w:rPr>
        <w:t xml:space="preserve"> al que </w:t>
      </w:r>
      <w:r w:rsidR="00846F89" w:rsidRPr="00E33A7C">
        <w:rPr>
          <w:rFonts w:ascii="Times New Roman" w:hAnsi="Times New Roman" w:cs="Times New Roman"/>
          <w:sz w:val="28"/>
          <w:szCs w:val="28"/>
          <w:lang w:val="es-MX"/>
        </w:rPr>
        <w:lastRenderedPageBreak/>
        <w:t>denomina</w:t>
      </w:r>
      <w:r w:rsidR="00570284" w:rsidRPr="00E33A7C">
        <w:rPr>
          <w:rFonts w:ascii="Times New Roman" w:hAnsi="Times New Roman" w:cs="Times New Roman"/>
          <w:sz w:val="28"/>
          <w:szCs w:val="28"/>
          <w:lang w:val="es-MX"/>
        </w:rPr>
        <w:t xml:space="preserve"> interpretación de la conducta de las partes, distingue entre una concepción subjetiva, la del numeral 1 que es la prioritaria, de difícil discernimiento y la objetiva de los numerales 2 y3</w:t>
      </w:r>
      <w:r w:rsidR="00570284" w:rsidRPr="00E33A7C">
        <w:rPr>
          <w:rStyle w:val="FootnoteReference"/>
          <w:rFonts w:ascii="Times New Roman" w:hAnsi="Times New Roman" w:cs="Times New Roman"/>
          <w:sz w:val="28"/>
          <w:szCs w:val="28"/>
          <w:lang w:val="es-MX"/>
        </w:rPr>
        <w:footnoteReference w:id="13"/>
      </w:r>
      <w:r w:rsidR="00570284" w:rsidRPr="00E33A7C">
        <w:rPr>
          <w:rFonts w:ascii="Times New Roman" w:hAnsi="Times New Roman" w:cs="Times New Roman"/>
          <w:sz w:val="28"/>
          <w:szCs w:val="28"/>
          <w:lang w:val="es-MX"/>
        </w:rPr>
        <w:t>.</w:t>
      </w:r>
    </w:p>
    <w:p w:rsidR="00570284" w:rsidRPr="00E33A7C" w:rsidRDefault="00570284" w:rsidP="003B56E1">
      <w:pPr>
        <w:spacing w:line="360" w:lineRule="auto"/>
        <w:ind w:left="357"/>
        <w:jc w:val="both"/>
        <w:rPr>
          <w:rFonts w:ascii="Times New Roman" w:hAnsi="Times New Roman" w:cs="Times New Roman"/>
          <w:sz w:val="28"/>
          <w:szCs w:val="28"/>
          <w:lang w:val="es-MX"/>
        </w:rPr>
      </w:pPr>
    </w:p>
    <w:p w:rsidR="00570284" w:rsidRPr="00E33A7C" w:rsidRDefault="008B178C"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9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atiene a los usos que las partes hayan aceptado. El numeral 2 proyecta el tema a los usos del comercio internacional. Esto es muy importante, aunque se prevea que cabe pacto expreso en contrario, por cuanto unos son los usos interpartes</w:t>
      </w:r>
      <w:r w:rsidR="0067637D" w:rsidRPr="00E33A7C">
        <w:rPr>
          <w:rFonts w:ascii="Times New Roman" w:hAnsi="Times New Roman" w:cs="Times New Roman"/>
          <w:sz w:val="28"/>
          <w:szCs w:val="28"/>
          <w:lang w:val="es-MX"/>
        </w:rPr>
        <w:t xml:space="preserve">, a los que es mejor designarles </w:t>
      </w:r>
      <w:r w:rsidR="0067637D" w:rsidRPr="00E33A7C">
        <w:rPr>
          <w:rFonts w:ascii="Times New Roman" w:hAnsi="Times New Roman" w:cs="Times New Roman"/>
          <w:i/>
          <w:sz w:val="28"/>
          <w:szCs w:val="28"/>
          <w:lang w:val="es-MX"/>
        </w:rPr>
        <w:t>prácticas comerciales</w:t>
      </w:r>
      <w:r w:rsidR="0067637D"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que revelan conductas constantes de los contratantes frente a situaciones similares y otros son los usos de carácter general dominantes en el comercio los cuales   conforman la </w:t>
      </w:r>
      <w:r w:rsidRPr="00E33A7C">
        <w:rPr>
          <w:rFonts w:ascii="Times New Roman" w:hAnsi="Times New Roman" w:cs="Times New Roman"/>
          <w:i/>
          <w:sz w:val="28"/>
          <w:szCs w:val="28"/>
          <w:lang w:val="es-MX"/>
        </w:rPr>
        <w:t>lex mercatoria</w:t>
      </w:r>
      <w:r w:rsidRPr="00E33A7C">
        <w:rPr>
          <w:rFonts w:ascii="Times New Roman" w:hAnsi="Times New Roman" w:cs="Times New Roman"/>
          <w:sz w:val="28"/>
          <w:szCs w:val="28"/>
          <w:lang w:val="es-MX"/>
        </w:rPr>
        <w:t xml:space="preserve"> actual. </w:t>
      </w:r>
      <w:r w:rsidR="00EB01F9" w:rsidRPr="00E33A7C">
        <w:rPr>
          <w:rFonts w:ascii="Times New Roman" w:hAnsi="Times New Roman" w:cs="Times New Roman"/>
          <w:sz w:val="28"/>
          <w:szCs w:val="28"/>
          <w:lang w:val="es-MX"/>
        </w:rPr>
        <w:t xml:space="preserve">Honnold integrante de </w:t>
      </w:r>
      <w:smartTag w:uri="urn:schemas-microsoft-com:office:smarttags" w:element="PersonName">
        <w:smartTagPr>
          <w:attr w:name="ProductID" w:val="la Comisi￳n"/>
        </w:smartTagPr>
        <w:r w:rsidR="00EB01F9" w:rsidRPr="00E33A7C">
          <w:rPr>
            <w:rFonts w:ascii="Times New Roman" w:hAnsi="Times New Roman" w:cs="Times New Roman"/>
            <w:sz w:val="28"/>
            <w:szCs w:val="28"/>
            <w:lang w:val="es-MX"/>
          </w:rPr>
          <w:t>la Comisión</w:t>
        </w:r>
      </w:smartTag>
      <w:r w:rsidR="00EB01F9" w:rsidRPr="00E33A7C">
        <w:rPr>
          <w:rFonts w:ascii="Times New Roman" w:hAnsi="Times New Roman" w:cs="Times New Roman"/>
          <w:sz w:val="28"/>
          <w:szCs w:val="28"/>
          <w:lang w:val="es-MX"/>
        </w:rPr>
        <w:t xml:space="preserve"> para el Derecho Mercantil Internacional de las  Naciones Unidas, se refiere ampliamente al tema</w:t>
      </w:r>
      <w:r w:rsidR="00EB01F9" w:rsidRPr="00E33A7C">
        <w:rPr>
          <w:rStyle w:val="FootnoteReference"/>
          <w:rFonts w:ascii="Times New Roman" w:hAnsi="Times New Roman" w:cs="Times New Roman"/>
          <w:sz w:val="28"/>
          <w:szCs w:val="28"/>
          <w:lang w:val="es-MX"/>
        </w:rPr>
        <w:footnoteReference w:id="14"/>
      </w:r>
      <w:r w:rsidR="00EB01F9"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w:t>
      </w:r>
    </w:p>
    <w:p w:rsidR="00913FA3" w:rsidRPr="00E33A7C" w:rsidRDefault="00913FA3" w:rsidP="003B56E1">
      <w:pPr>
        <w:spacing w:line="360" w:lineRule="auto"/>
        <w:ind w:left="357"/>
        <w:jc w:val="both"/>
        <w:rPr>
          <w:rFonts w:ascii="Times New Roman" w:hAnsi="Times New Roman" w:cs="Times New Roman"/>
          <w:sz w:val="28"/>
          <w:szCs w:val="28"/>
          <w:lang w:val="es-MX"/>
        </w:rPr>
      </w:pPr>
    </w:p>
    <w:p w:rsidR="00913FA3" w:rsidRPr="00E33A7C" w:rsidRDefault="00913FA3"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5. El artículo 11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expresa que el contrato </w:t>
      </w:r>
      <w:r w:rsidR="00AA2CD4" w:rsidRPr="00E33A7C">
        <w:rPr>
          <w:rFonts w:ascii="Times New Roman" w:hAnsi="Times New Roman" w:cs="Times New Roman"/>
          <w:sz w:val="28"/>
          <w:szCs w:val="28"/>
          <w:lang w:val="es-MX"/>
        </w:rPr>
        <w:t xml:space="preserve">de compraventa internacional de </w:t>
      </w:r>
      <w:r w:rsidRPr="00E33A7C">
        <w:rPr>
          <w:rFonts w:ascii="Times New Roman" w:hAnsi="Times New Roman" w:cs="Times New Roman"/>
          <w:sz w:val="28"/>
          <w:szCs w:val="28"/>
          <w:lang w:val="es-MX"/>
        </w:rPr>
        <w:t>mercaderías no requiere ser escrito para su perfeccionamiento ni para su prueba. Añade que podrá probarse por cualquier medio, inclusive con testigos. A su vez el artículo 13 señala que la expresión por escrito comprende el telegrama y el telex. No se refiere al comercio electrónico que se desarrolló con posterioridad y que indudablemente se encuentra sujeto a normas y tratamientos peculiares.</w:t>
      </w:r>
      <w:r w:rsidR="00B519BA" w:rsidRPr="00E33A7C">
        <w:rPr>
          <w:rFonts w:ascii="Times New Roman" w:hAnsi="Times New Roman" w:cs="Times New Roman"/>
          <w:sz w:val="28"/>
          <w:szCs w:val="28"/>
          <w:lang w:val="es-MX"/>
        </w:rPr>
        <w:t xml:space="preserve"> </w:t>
      </w:r>
      <w:r w:rsidR="00AA2CD4" w:rsidRPr="00E33A7C">
        <w:rPr>
          <w:rFonts w:ascii="Times New Roman" w:hAnsi="Times New Roman" w:cs="Times New Roman"/>
          <w:sz w:val="28"/>
          <w:szCs w:val="28"/>
          <w:lang w:val="es-MX"/>
        </w:rPr>
        <w:t>En el orden mercantil, a diferencia de lo que ocurre en el civil, no es imprescindible la prueba instrumental de las obligaciones. Puede probárselas por medio de testigos.</w:t>
      </w:r>
      <w:r w:rsidR="00B03700" w:rsidRPr="00E33A7C">
        <w:rPr>
          <w:rFonts w:ascii="Times New Roman" w:hAnsi="Times New Roman" w:cs="Times New Roman"/>
          <w:sz w:val="28"/>
          <w:szCs w:val="28"/>
          <w:lang w:val="es-MX"/>
        </w:rPr>
        <w:t xml:space="preserve"> Así lo prevé el artículo 168 del Código de Comercio.</w:t>
      </w:r>
      <w:r w:rsidR="00F21FE2" w:rsidRPr="00E33A7C">
        <w:rPr>
          <w:rFonts w:ascii="Times New Roman" w:hAnsi="Times New Roman" w:cs="Times New Roman"/>
          <w:sz w:val="28"/>
          <w:szCs w:val="28"/>
          <w:lang w:val="es-MX"/>
        </w:rPr>
        <w:t xml:space="preserve"> Indudablemente se trata de un contrato consensual </w:t>
      </w:r>
      <w:r w:rsidR="00F21FE2" w:rsidRPr="00E33A7C">
        <w:rPr>
          <w:rFonts w:ascii="Times New Roman" w:hAnsi="Times New Roman" w:cs="Times New Roman"/>
          <w:sz w:val="28"/>
          <w:szCs w:val="28"/>
          <w:lang w:val="es-MX"/>
        </w:rPr>
        <w:lastRenderedPageBreak/>
        <w:t xml:space="preserve">que se perfecciona por el simple consentimiento. Sin embargo, de acuerdo a los artículos 12 y 96 de </w:t>
      </w:r>
      <w:smartTag w:uri="urn:schemas-microsoft-com:office:smarttags" w:element="PersonName">
        <w:smartTagPr>
          <w:attr w:name="ProductID" w:val="la CV"/>
        </w:smartTagPr>
        <w:r w:rsidR="00F21FE2" w:rsidRPr="00E33A7C">
          <w:rPr>
            <w:rFonts w:ascii="Times New Roman" w:hAnsi="Times New Roman" w:cs="Times New Roman"/>
            <w:sz w:val="28"/>
            <w:szCs w:val="28"/>
            <w:lang w:val="es-MX"/>
          </w:rPr>
          <w:t>la CV</w:t>
        </w:r>
      </w:smartTag>
      <w:r w:rsidR="00F21FE2" w:rsidRPr="00E33A7C">
        <w:rPr>
          <w:rFonts w:ascii="Times New Roman" w:hAnsi="Times New Roman" w:cs="Times New Roman"/>
          <w:sz w:val="28"/>
          <w:szCs w:val="28"/>
          <w:lang w:val="es-MX"/>
        </w:rPr>
        <w:t xml:space="preserve"> podría darse el caso de que un Estado, de acuerdo a su legislación interna exija que el contrato sea por escrito. Este no es el caso de Ecuador.</w:t>
      </w:r>
    </w:p>
    <w:p w:rsidR="00F21FE2" w:rsidRPr="00E33A7C" w:rsidRDefault="00F21FE2" w:rsidP="003B56E1">
      <w:pPr>
        <w:spacing w:line="360" w:lineRule="auto"/>
        <w:ind w:left="357"/>
        <w:jc w:val="both"/>
        <w:rPr>
          <w:rFonts w:ascii="Times New Roman" w:hAnsi="Times New Roman" w:cs="Times New Roman"/>
          <w:sz w:val="28"/>
          <w:szCs w:val="28"/>
          <w:lang w:val="es-MX"/>
        </w:rPr>
      </w:pPr>
    </w:p>
    <w:p w:rsidR="005F0658" w:rsidRPr="00E33A7C" w:rsidRDefault="003E5729"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Bien podría suceder, que por acuerdo de las partes el contrato deba reducirse a escrito. Se trataría de una solemnidad opcional pero obligatoria para quienes así convienen, Según  Adame Goddard,  ello podría ocurrir</w:t>
      </w:r>
      <w:r w:rsidR="008B64B0" w:rsidRPr="00E33A7C">
        <w:rPr>
          <w:rFonts w:ascii="Times New Roman" w:hAnsi="Times New Roman" w:cs="Times New Roman"/>
          <w:sz w:val="28"/>
          <w:szCs w:val="28"/>
          <w:lang w:val="es-MX"/>
        </w:rPr>
        <w:t xml:space="preserve"> también</w:t>
      </w:r>
      <w:r w:rsidRPr="00E33A7C">
        <w:rPr>
          <w:rFonts w:ascii="Times New Roman" w:hAnsi="Times New Roman" w:cs="Times New Roman"/>
          <w:sz w:val="28"/>
          <w:szCs w:val="28"/>
          <w:lang w:val="es-MX"/>
        </w:rPr>
        <w:t xml:space="preserve"> por una práctica de las partes, siendo pertinente al propósito el artículo 9 1) de la CV</w:t>
      </w:r>
      <w:r w:rsidR="008B64B0" w:rsidRPr="00E33A7C">
        <w:rPr>
          <w:rStyle w:val="FootnoteReference"/>
          <w:rFonts w:ascii="Times New Roman" w:hAnsi="Times New Roman" w:cs="Times New Roman"/>
          <w:sz w:val="28"/>
          <w:szCs w:val="28"/>
          <w:lang w:val="es-MX"/>
        </w:rPr>
        <w:footnoteReference w:id="15"/>
      </w:r>
      <w:r w:rsidRPr="00E33A7C">
        <w:rPr>
          <w:rFonts w:ascii="Times New Roman" w:hAnsi="Times New Roman" w:cs="Times New Roman"/>
          <w:sz w:val="28"/>
          <w:szCs w:val="28"/>
          <w:lang w:val="es-MX"/>
        </w:rPr>
        <w:t xml:space="preserve">. Este supuesto se daría </w:t>
      </w:r>
      <w:r w:rsidR="005F0658" w:rsidRPr="00E33A7C">
        <w:rPr>
          <w:rFonts w:ascii="Times New Roman" w:hAnsi="Times New Roman" w:cs="Times New Roman"/>
          <w:sz w:val="28"/>
          <w:szCs w:val="28"/>
          <w:lang w:val="es-MX"/>
        </w:rPr>
        <w:t xml:space="preserve">al existir </w:t>
      </w:r>
      <w:r w:rsidRPr="00E33A7C">
        <w:rPr>
          <w:rFonts w:ascii="Times New Roman" w:hAnsi="Times New Roman" w:cs="Times New Roman"/>
          <w:sz w:val="28"/>
          <w:szCs w:val="28"/>
          <w:lang w:val="es-MX"/>
        </w:rPr>
        <w:t>una relación contractual continua entre comprador y vendedor.</w:t>
      </w:r>
      <w:r w:rsidR="008B64B0" w:rsidRPr="00E33A7C">
        <w:rPr>
          <w:rFonts w:ascii="Times New Roman" w:hAnsi="Times New Roman" w:cs="Times New Roman"/>
          <w:sz w:val="28"/>
          <w:szCs w:val="28"/>
          <w:lang w:val="es-MX"/>
        </w:rPr>
        <w:t xml:space="preserve"> El artículo 29 de </w:t>
      </w:r>
      <w:smartTag w:uri="urn:schemas-microsoft-com:office:smarttags" w:element="PersonName">
        <w:smartTagPr>
          <w:attr w:name="ProductID" w:val="la CV"/>
        </w:smartTagPr>
        <w:r w:rsidR="008B64B0" w:rsidRPr="00E33A7C">
          <w:rPr>
            <w:rFonts w:ascii="Times New Roman" w:hAnsi="Times New Roman" w:cs="Times New Roman"/>
            <w:sz w:val="28"/>
            <w:szCs w:val="28"/>
            <w:lang w:val="es-MX"/>
          </w:rPr>
          <w:t>la CV</w:t>
        </w:r>
      </w:smartTag>
      <w:r w:rsidR="008B64B0" w:rsidRPr="00E33A7C">
        <w:rPr>
          <w:rFonts w:ascii="Times New Roman" w:hAnsi="Times New Roman" w:cs="Times New Roman"/>
          <w:sz w:val="28"/>
          <w:szCs w:val="28"/>
          <w:lang w:val="es-MX"/>
        </w:rPr>
        <w:t xml:space="preserve"> prevé que  también la modificación y extinción del contrato sean consensuales, salvo acuerdo de que se lo haga por escrito</w:t>
      </w:r>
    </w:p>
    <w:p w:rsidR="005F0658" w:rsidRPr="00E33A7C" w:rsidRDefault="005F0658" w:rsidP="003B56E1">
      <w:pPr>
        <w:spacing w:line="360" w:lineRule="auto"/>
        <w:ind w:left="357"/>
        <w:jc w:val="both"/>
        <w:rPr>
          <w:rFonts w:ascii="Times New Roman" w:hAnsi="Times New Roman" w:cs="Times New Roman"/>
          <w:sz w:val="28"/>
          <w:szCs w:val="28"/>
          <w:lang w:val="es-MX"/>
        </w:rPr>
      </w:pPr>
    </w:p>
    <w:p w:rsidR="00552D05" w:rsidRPr="00E33A7C" w:rsidRDefault="005F0658"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Al ser la compraventa internacional de mercaderías un contrato consensual, adquiere singular importancia definir en qué momento se forma el consentimiento.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dedica los artículos  </w:t>
      </w:r>
      <w:smartTag w:uri="urn:schemas-microsoft-com:office:smarttags" w:element="metricconverter">
        <w:smartTagPr>
          <w:attr w:name="ProductID" w:val="14 a"/>
        </w:smartTagPr>
        <w:r w:rsidRPr="00E33A7C">
          <w:rPr>
            <w:rFonts w:ascii="Times New Roman" w:hAnsi="Times New Roman" w:cs="Times New Roman"/>
            <w:sz w:val="28"/>
            <w:szCs w:val="28"/>
            <w:lang w:val="es-MX"/>
          </w:rPr>
          <w:t>14 a</w:t>
        </w:r>
      </w:smartTag>
      <w:r w:rsidRPr="00E33A7C">
        <w:rPr>
          <w:rFonts w:ascii="Times New Roman" w:hAnsi="Times New Roman" w:cs="Times New Roman"/>
          <w:sz w:val="28"/>
          <w:szCs w:val="28"/>
          <w:lang w:val="es-MX"/>
        </w:rPr>
        <w:t xml:space="preserve"> </w:t>
      </w:r>
      <w:smartTag w:uri="urn:schemas-microsoft-com:office:smarttags" w:element="metricconverter">
        <w:smartTagPr>
          <w:attr w:name="ProductID" w:val="24 a"/>
        </w:smartTagPr>
        <w:r w:rsidRPr="00E33A7C">
          <w:rPr>
            <w:rFonts w:ascii="Times New Roman" w:hAnsi="Times New Roman" w:cs="Times New Roman"/>
            <w:sz w:val="28"/>
            <w:szCs w:val="28"/>
            <w:lang w:val="es-MX"/>
          </w:rPr>
          <w:t>24 a</w:t>
        </w:r>
      </w:smartTag>
      <w:r w:rsidRPr="00E33A7C">
        <w:rPr>
          <w:rFonts w:ascii="Times New Roman" w:hAnsi="Times New Roman" w:cs="Times New Roman"/>
          <w:sz w:val="28"/>
          <w:szCs w:val="28"/>
          <w:lang w:val="es-MX"/>
        </w:rPr>
        <w:t xml:space="preserve"> este tema que se desenvuelve  bajo la rubrica </w:t>
      </w:r>
      <w:r w:rsidRPr="00E33A7C">
        <w:rPr>
          <w:rFonts w:ascii="Times New Roman" w:hAnsi="Times New Roman" w:cs="Times New Roman"/>
          <w:i/>
          <w:sz w:val="28"/>
          <w:szCs w:val="28"/>
          <w:lang w:val="es-MX"/>
        </w:rPr>
        <w:t>Formación del contrato</w:t>
      </w:r>
      <w:r w:rsidRPr="00E33A7C">
        <w:rPr>
          <w:rFonts w:ascii="Times New Roman" w:hAnsi="Times New Roman" w:cs="Times New Roman"/>
          <w:sz w:val="28"/>
          <w:szCs w:val="28"/>
          <w:lang w:val="es-MX"/>
        </w:rPr>
        <w:t>.</w:t>
      </w:r>
      <w:r w:rsidR="00664B34" w:rsidRPr="00E33A7C">
        <w:rPr>
          <w:rFonts w:ascii="Times New Roman" w:hAnsi="Times New Roman" w:cs="Times New Roman"/>
          <w:sz w:val="28"/>
          <w:szCs w:val="28"/>
          <w:lang w:val="es-MX"/>
        </w:rPr>
        <w:t xml:space="preserve"> El artículo 14 1) consigna que </w:t>
      </w:r>
      <w:r w:rsidRPr="00E33A7C">
        <w:rPr>
          <w:rFonts w:ascii="Times New Roman" w:hAnsi="Times New Roman" w:cs="Times New Roman"/>
          <w:sz w:val="28"/>
          <w:szCs w:val="28"/>
          <w:lang w:val="es-MX"/>
        </w:rPr>
        <w:t xml:space="preserve"> </w:t>
      </w:r>
      <w:r w:rsidR="00664B34" w:rsidRPr="00E33A7C">
        <w:rPr>
          <w:rFonts w:ascii="Times New Roman" w:hAnsi="Times New Roman" w:cs="Times New Roman"/>
          <w:sz w:val="28"/>
          <w:szCs w:val="28"/>
          <w:lang w:val="es-MX"/>
        </w:rPr>
        <w:t xml:space="preserve"> </w:t>
      </w:r>
      <w:r w:rsidR="00664B34" w:rsidRPr="00E33A7C">
        <w:rPr>
          <w:rFonts w:ascii="Times New Roman" w:hAnsi="Times New Roman" w:cs="Times New Roman"/>
          <w:i/>
          <w:sz w:val="28"/>
          <w:szCs w:val="28"/>
          <w:lang w:val="es-MX"/>
        </w:rPr>
        <w:t xml:space="preserve">La propuesta de  celebrar un contrato dirigida a una o varias personas constituirá  oferta si es suficientemente  precisa e indica la intención del oferente de quedar obligado en caso de aceptación. Una propuesta es suficientemente precisa si indica las mercaderías y, expresa o tácitamente señala la cantidad y el precio o prevé </w:t>
      </w:r>
      <w:r w:rsidR="00BA1A89" w:rsidRPr="00E33A7C">
        <w:rPr>
          <w:rFonts w:ascii="Times New Roman" w:hAnsi="Times New Roman" w:cs="Times New Roman"/>
          <w:i/>
          <w:sz w:val="28"/>
          <w:szCs w:val="28"/>
          <w:lang w:val="es-MX"/>
        </w:rPr>
        <w:t>un</w:t>
      </w:r>
      <w:r w:rsidR="00664B34" w:rsidRPr="00E33A7C">
        <w:rPr>
          <w:rFonts w:ascii="Times New Roman" w:hAnsi="Times New Roman" w:cs="Times New Roman"/>
          <w:i/>
          <w:sz w:val="28"/>
          <w:szCs w:val="28"/>
          <w:lang w:val="es-MX"/>
        </w:rPr>
        <w:t xml:space="preserve"> medio para determinarlos</w:t>
      </w:r>
      <w:r w:rsidR="00664B34" w:rsidRPr="00E33A7C">
        <w:rPr>
          <w:rFonts w:ascii="Times New Roman" w:hAnsi="Times New Roman" w:cs="Times New Roman"/>
          <w:sz w:val="28"/>
          <w:szCs w:val="28"/>
          <w:lang w:val="es-MX"/>
        </w:rPr>
        <w:t>. La propuesta puede provenir del vendedor o del comprador. Sobre la precisión  Carlos Esplugues Mota</w:t>
      </w:r>
      <w:r w:rsidR="00664B34" w:rsidRPr="00E33A7C">
        <w:rPr>
          <w:rStyle w:val="FootnoteReference"/>
          <w:rFonts w:ascii="Times New Roman" w:hAnsi="Times New Roman" w:cs="Times New Roman"/>
          <w:sz w:val="28"/>
          <w:szCs w:val="28"/>
          <w:lang w:val="es-MX"/>
        </w:rPr>
        <w:footnoteReference w:id="16"/>
      </w:r>
      <w:r w:rsidR="00552D05" w:rsidRPr="00E33A7C">
        <w:rPr>
          <w:rFonts w:ascii="Times New Roman" w:hAnsi="Times New Roman" w:cs="Times New Roman"/>
          <w:sz w:val="28"/>
          <w:szCs w:val="28"/>
          <w:lang w:val="es-MX"/>
        </w:rPr>
        <w:t>, recoge algunos casos:</w:t>
      </w:r>
    </w:p>
    <w:p w:rsidR="00552D05" w:rsidRPr="00E33A7C" w:rsidRDefault="00552D05" w:rsidP="003B56E1">
      <w:pPr>
        <w:spacing w:line="360" w:lineRule="auto"/>
        <w:ind w:left="357"/>
        <w:jc w:val="both"/>
        <w:rPr>
          <w:rFonts w:ascii="Times New Roman" w:hAnsi="Times New Roman" w:cs="Times New Roman"/>
          <w:sz w:val="28"/>
          <w:szCs w:val="28"/>
          <w:lang w:val="es-MX"/>
        </w:rPr>
      </w:pPr>
    </w:p>
    <w:p w:rsidR="005F0658" w:rsidRPr="002E2A78" w:rsidRDefault="00552D05" w:rsidP="003B56E1">
      <w:pPr>
        <w:spacing w:line="360" w:lineRule="auto"/>
        <w:ind w:left="357"/>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lastRenderedPageBreak/>
        <w:t>- CNUDMI Caso No. 135</w:t>
      </w:r>
      <w:r w:rsidR="00664B34" w:rsidRPr="002E2A78">
        <w:rPr>
          <w:rFonts w:ascii="Times New Roman" w:hAnsi="Times New Roman" w:cs="Times New Roman"/>
          <w:sz w:val="20"/>
          <w:szCs w:val="20"/>
          <w:lang w:val="es-MX"/>
        </w:rPr>
        <w:t xml:space="preserve"> </w:t>
      </w:r>
      <w:r w:rsidRPr="002E2A78">
        <w:rPr>
          <w:rFonts w:ascii="Times New Roman" w:hAnsi="Times New Roman" w:cs="Times New Roman"/>
          <w:sz w:val="20"/>
          <w:szCs w:val="20"/>
          <w:lang w:val="es-MX"/>
        </w:rPr>
        <w:t xml:space="preserve"> en el cual el Tribunal precisa la inexistencia de una oferta válida, y por lo tanto de un contrato válido, dado que en ningún momento vendedor y comprador llegaron a un acuerdo sobre una concreta calidad de vidrio para la fabricación de tubos de ensayo.</w:t>
      </w:r>
    </w:p>
    <w:p w:rsidR="007D2370" w:rsidRPr="002E2A78" w:rsidRDefault="007D2370" w:rsidP="003B56E1">
      <w:pPr>
        <w:spacing w:line="360" w:lineRule="auto"/>
        <w:ind w:left="357"/>
        <w:jc w:val="both"/>
        <w:rPr>
          <w:rFonts w:ascii="Times New Roman" w:hAnsi="Times New Roman" w:cs="Times New Roman"/>
          <w:sz w:val="20"/>
          <w:szCs w:val="20"/>
          <w:lang w:val="es-MX"/>
        </w:rPr>
      </w:pPr>
    </w:p>
    <w:p w:rsidR="00552D05" w:rsidRPr="002E2A78" w:rsidRDefault="00552D05" w:rsidP="003B56E1">
      <w:pPr>
        <w:spacing w:line="360" w:lineRule="auto"/>
        <w:ind w:left="357"/>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CNUDMI Caso No. 139</w:t>
      </w:r>
      <w:r w:rsidR="00655592" w:rsidRPr="002E2A78">
        <w:rPr>
          <w:rFonts w:ascii="Times New Roman" w:hAnsi="Times New Roman" w:cs="Times New Roman"/>
          <w:sz w:val="20"/>
          <w:szCs w:val="20"/>
          <w:lang w:val="es-MX"/>
        </w:rPr>
        <w:t xml:space="preserve"> en el cual se concretaba la naturaleza de las mercaderías, mas no se convino  el precio diez días antes de comenzar  el año nuevo.. El Tribunal consideró que las partes no habían perfeccionado ningún contrato.</w:t>
      </w:r>
    </w:p>
    <w:p w:rsidR="00655592" w:rsidRPr="002E2A78" w:rsidRDefault="00655592" w:rsidP="003B56E1">
      <w:pPr>
        <w:spacing w:line="360" w:lineRule="auto"/>
        <w:ind w:left="357"/>
        <w:jc w:val="both"/>
        <w:rPr>
          <w:rFonts w:ascii="Times New Roman" w:hAnsi="Times New Roman" w:cs="Times New Roman"/>
          <w:sz w:val="20"/>
          <w:szCs w:val="20"/>
          <w:lang w:val="es-MX"/>
        </w:rPr>
      </w:pPr>
    </w:p>
    <w:p w:rsidR="00655592" w:rsidRPr="002E2A78" w:rsidRDefault="00655592" w:rsidP="003B56E1">
      <w:pPr>
        <w:spacing w:line="360" w:lineRule="auto"/>
        <w:ind w:left="357"/>
        <w:jc w:val="both"/>
        <w:rPr>
          <w:rFonts w:ascii="Times New Roman" w:hAnsi="Times New Roman" w:cs="Times New Roman"/>
          <w:sz w:val="20"/>
          <w:szCs w:val="20"/>
          <w:lang w:val="es-MX"/>
        </w:rPr>
      </w:pPr>
      <w:r w:rsidRPr="002E2A78">
        <w:rPr>
          <w:rFonts w:ascii="Times New Roman" w:hAnsi="Times New Roman" w:cs="Times New Roman"/>
          <w:sz w:val="20"/>
          <w:szCs w:val="20"/>
          <w:lang w:val="es-MX"/>
        </w:rPr>
        <w:t>- El caso de la sentencia  expedida por el Tribunal Supremo Húngaro de 25 de septiembre de 1992 que declaró que tanto la oferta como la aceptación eran vagas y no precisaban  directa o indirectamente el precio a pagar y, por lo tanto, no existía contrato válido.  En el caso el fabricante de motores de aviación realizó dos ofertas sin especificar un precio exacto.</w:t>
      </w:r>
    </w:p>
    <w:p w:rsidR="007D2370" w:rsidRPr="00E33A7C" w:rsidRDefault="007D2370" w:rsidP="003B56E1">
      <w:pPr>
        <w:spacing w:line="360" w:lineRule="auto"/>
        <w:ind w:left="357"/>
        <w:jc w:val="both"/>
        <w:rPr>
          <w:rFonts w:ascii="Times New Roman" w:hAnsi="Times New Roman" w:cs="Times New Roman"/>
          <w:sz w:val="28"/>
          <w:szCs w:val="28"/>
          <w:lang w:val="es-MX"/>
        </w:rPr>
      </w:pPr>
    </w:p>
    <w:p w:rsidR="00A54554" w:rsidRPr="00E33A7C" w:rsidRDefault="007D2370" w:rsidP="003B56E1">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numeral 2) del artículo 14 dice que, </w:t>
      </w:r>
      <w:r w:rsidRPr="00E33A7C">
        <w:rPr>
          <w:rFonts w:ascii="Times New Roman" w:hAnsi="Times New Roman" w:cs="Times New Roman"/>
          <w:i/>
          <w:sz w:val="28"/>
          <w:szCs w:val="28"/>
          <w:lang w:val="es-MX"/>
        </w:rPr>
        <w:t>Toda propuesta no dirigida a una o varias personas determinadas será considerada como una simple invitación a hacer ofertas, a menos que la persona que haga la propuesta  indique claramente lo contrario</w:t>
      </w:r>
      <w:r w:rsidRPr="00E33A7C">
        <w:rPr>
          <w:rFonts w:ascii="Times New Roman" w:hAnsi="Times New Roman" w:cs="Times New Roman"/>
          <w:sz w:val="28"/>
          <w:szCs w:val="28"/>
          <w:lang w:val="es-MX"/>
        </w:rPr>
        <w:t>.</w:t>
      </w:r>
      <w:r w:rsidR="0010216F" w:rsidRPr="00E33A7C">
        <w:rPr>
          <w:rFonts w:ascii="Times New Roman" w:hAnsi="Times New Roman" w:cs="Times New Roman"/>
          <w:sz w:val="28"/>
          <w:szCs w:val="28"/>
          <w:lang w:val="es-MX"/>
        </w:rPr>
        <w:t xml:space="preserve"> Propuestas de este tenor   son invitaciones que suelen tener como finalidad  hacer publicidad. Son también denominadas oferta</w:t>
      </w:r>
      <w:r w:rsidR="00336057" w:rsidRPr="00E33A7C">
        <w:rPr>
          <w:rFonts w:ascii="Times New Roman" w:hAnsi="Times New Roman" w:cs="Times New Roman"/>
          <w:sz w:val="28"/>
          <w:szCs w:val="28"/>
          <w:lang w:val="es-MX"/>
        </w:rPr>
        <w:t>s</w:t>
      </w:r>
      <w:r w:rsidR="0010216F" w:rsidRPr="00E33A7C">
        <w:rPr>
          <w:rFonts w:ascii="Times New Roman" w:hAnsi="Times New Roman" w:cs="Times New Roman"/>
          <w:sz w:val="28"/>
          <w:szCs w:val="28"/>
          <w:lang w:val="es-MX"/>
        </w:rPr>
        <w:t xml:space="preserve"> al público. Adame Goddard señala que, según Eörsy, quién  ofrece al público debe tener una responsabilidad por ello, de suerte que si rechaza una oferta, debe indemnizar  los gastos y daños causados, aserto que no comparte</w:t>
      </w:r>
      <w:r w:rsidR="00A54554" w:rsidRPr="00E33A7C">
        <w:rPr>
          <w:rFonts w:ascii="Times New Roman" w:hAnsi="Times New Roman" w:cs="Times New Roman"/>
          <w:sz w:val="28"/>
          <w:szCs w:val="28"/>
          <w:lang w:val="es-MX"/>
        </w:rPr>
        <w:t xml:space="preserve"> Adame</w:t>
      </w:r>
      <w:r w:rsidR="0010216F" w:rsidRPr="00E33A7C">
        <w:rPr>
          <w:rFonts w:ascii="Times New Roman" w:hAnsi="Times New Roman" w:cs="Times New Roman"/>
          <w:sz w:val="28"/>
          <w:szCs w:val="28"/>
          <w:lang w:val="es-MX"/>
        </w:rPr>
        <w:t xml:space="preserve"> y que podría ser analizado dentro</w:t>
      </w:r>
      <w:r w:rsidR="00336057" w:rsidRPr="00E33A7C">
        <w:rPr>
          <w:rFonts w:ascii="Times New Roman" w:hAnsi="Times New Roman" w:cs="Times New Roman"/>
          <w:sz w:val="28"/>
          <w:szCs w:val="28"/>
          <w:lang w:val="es-MX"/>
        </w:rPr>
        <w:t xml:space="preserve"> de las leyes de derecho interno que protegen a los consumidores</w:t>
      </w:r>
      <w:r w:rsidR="00336057" w:rsidRPr="00E33A7C">
        <w:rPr>
          <w:rStyle w:val="FootnoteReference"/>
          <w:rFonts w:ascii="Times New Roman" w:hAnsi="Times New Roman" w:cs="Times New Roman"/>
          <w:sz w:val="28"/>
          <w:szCs w:val="28"/>
          <w:lang w:val="es-MX"/>
        </w:rPr>
        <w:footnoteReference w:id="17"/>
      </w:r>
      <w:r w:rsidR="00336057" w:rsidRPr="00E33A7C">
        <w:rPr>
          <w:rFonts w:ascii="Times New Roman" w:hAnsi="Times New Roman" w:cs="Times New Roman"/>
          <w:sz w:val="28"/>
          <w:szCs w:val="28"/>
          <w:lang w:val="es-MX"/>
        </w:rPr>
        <w:t>.</w:t>
      </w:r>
    </w:p>
    <w:p w:rsidR="00A54554" w:rsidRPr="00E33A7C" w:rsidRDefault="00A54554" w:rsidP="003B56E1">
      <w:pPr>
        <w:spacing w:line="360" w:lineRule="auto"/>
        <w:ind w:left="357"/>
        <w:jc w:val="both"/>
        <w:rPr>
          <w:rFonts w:ascii="Times New Roman" w:hAnsi="Times New Roman" w:cs="Times New Roman"/>
          <w:sz w:val="28"/>
          <w:szCs w:val="28"/>
          <w:lang w:val="es-MX"/>
        </w:rPr>
      </w:pPr>
    </w:p>
    <w:p w:rsidR="00687E2E" w:rsidRPr="00E33A7C" w:rsidRDefault="00A54554"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15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dice que </w:t>
      </w:r>
      <w:r w:rsidRPr="00E33A7C">
        <w:rPr>
          <w:rFonts w:ascii="Times New Roman" w:hAnsi="Times New Roman" w:cs="Times New Roman"/>
          <w:i/>
          <w:sz w:val="28"/>
          <w:szCs w:val="28"/>
          <w:lang w:val="es-MX"/>
        </w:rPr>
        <w:t>la oferta surtirá efecto cuando llegue al destinatario</w:t>
      </w:r>
      <w:r w:rsidRPr="00E33A7C">
        <w:rPr>
          <w:rFonts w:ascii="Times New Roman" w:hAnsi="Times New Roman" w:cs="Times New Roman"/>
          <w:sz w:val="28"/>
          <w:szCs w:val="28"/>
          <w:lang w:val="es-MX"/>
        </w:rPr>
        <w:t xml:space="preserve"> y que </w:t>
      </w:r>
      <w:r w:rsidRPr="00E33A7C">
        <w:rPr>
          <w:rFonts w:ascii="Times New Roman" w:hAnsi="Times New Roman" w:cs="Times New Roman"/>
          <w:i/>
          <w:sz w:val="28"/>
          <w:szCs w:val="28"/>
          <w:lang w:val="es-MX"/>
        </w:rPr>
        <w:t>la oferta, aún cuando sea irrevocable, podrá ser retirada si su retiro llega al destinatario antes o al mismo tiempo que la oferta</w:t>
      </w:r>
      <w:r w:rsidRPr="00E33A7C">
        <w:rPr>
          <w:rFonts w:ascii="Times New Roman" w:hAnsi="Times New Roman" w:cs="Times New Roman"/>
          <w:sz w:val="28"/>
          <w:szCs w:val="28"/>
          <w:lang w:val="es-MX"/>
        </w:rPr>
        <w:t>. La disposición supone la existencia de destinatarios particulares</w:t>
      </w:r>
      <w:r w:rsidR="00687E2E" w:rsidRPr="00E33A7C">
        <w:rPr>
          <w:rFonts w:ascii="Times New Roman" w:hAnsi="Times New Roman" w:cs="Times New Roman"/>
          <w:sz w:val="28"/>
          <w:szCs w:val="28"/>
          <w:lang w:val="es-MX"/>
        </w:rPr>
        <w:t xml:space="preserve"> receptores de la oferta, la cual llega a conocimiento de ellos por cualquier modo eficaz y comprobable. Podía la oferta ser verbal o </w:t>
      </w:r>
      <w:r w:rsidR="00687E2E" w:rsidRPr="00E33A7C">
        <w:rPr>
          <w:rFonts w:ascii="Times New Roman" w:hAnsi="Times New Roman" w:cs="Times New Roman"/>
          <w:sz w:val="28"/>
          <w:szCs w:val="28"/>
          <w:lang w:val="es-MX"/>
        </w:rPr>
        <w:lastRenderedPageBreak/>
        <w:t>escrita, telefónica, por correo electrónico, por fax u otros. Tiene especial importancia establecer el momento que la oferta llega al destinatario.</w:t>
      </w:r>
      <w:r w:rsidR="00BD2372" w:rsidRPr="00E33A7C">
        <w:rPr>
          <w:rFonts w:ascii="Times New Roman" w:hAnsi="Times New Roman" w:cs="Times New Roman"/>
          <w:sz w:val="28"/>
          <w:szCs w:val="28"/>
          <w:lang w:val="es-MX"/>
        </w:rPr>
        <w:t xml:space="preserve"> El artículo 24 de </w:t>
      </w:r>
      <w:smartTag w:uri="urn:schemas-microsoft-com:office:smarttags" w:element="PersonName">
        <w:smartTagPr>
          <w:attr w:name="ProductID" w:val="la CV"/>
        </w:smartTagPr>
        <w:r w:rsidR="00BD2372" w:rsidRPr="00E33A7C">
          <w:rPr>
            <w:rFonts w:ascii="Times New Roman" w:hAnsi="Times New Roman" w:cs="Times New Roman"/>
            <w:sz w:val="28"/>
            <w:szCs w:val="28"/>
            <w:lang w:val="es-MX"/>
          </w:rPr>
          <w:t>la CV</w:t>
        </w:r>
      </w:smartTag>
      <w:r w:rsidR="00BD2372" w:rsidRPr="00E33A7C">
        <w:rPr>
          <w:rFonts w:ascii="Times New Roman" w:hAnsi="Times New Roman" w:cs="Times New Roman"/>
          <w:sz w:val="28"/>
          <w:szCs w:val="28"/>
          <w:lang w:val="es-MX"/>
        </w:rPr>
        <w:t xml:space="preserve"> cuándo se entiende que llega la oferta al destinatario.  La norma es aplicable a otras situaciones como la declaración de aceptación. Su tenor es amplio y abarcativo de de todas las formas en que la oferta llegue al destinatario. </w:t>
      </w:r>
      <w:r w:rsidR="00687E2E" w:rsidRPr="00E33A7C">
        <w:rPr>
          <w:rFonts w:ascii="Times New Roman" w:hAnsi="Times New Roman" w:cs="Times New Roman"/>
          <w:sz w:val="28"/>
          <w:szCs w:val="28"/>
          <w:lang w:val="es-MX"/>
        </w:rPr>
        <w:t xml:space="preserve"> La oferta podría estar sujeta a una condición suspensiva caso en el cual dicho momento quedaría pospuesto, sujeto al cumplimiento de tal condición.</w:t>
      </w:r>
      <w:r w:rsidR="00BD2372" w:rsidRPr="00E33A7C">
        <w:rPr>
          <w:rFonts w:ascii="Times New Roman" w:hAnsi="Times New Roman" w:cs="Times New Roman"/>
          <w:sz w:val="28"/>
          <w:szCs w:val="28"/>
          <w:lang w:val="es-MX"/>
        </w:rPr>
        <w:t xml:space="preserve"> El artículo 143 del Código de Comercio prevé que el  proponente u ofertante, se ha de entender,  puede retractarse de la misma antes de la aceptación, a menos que se hubiese comprometido expresamente a esperar la contestación.</w:t>
      </w:r>
    </w:p>
    <w:p w:rsidR="00450F54" w:rsidRPr="00E33A7C" w:rsidRDefault="00450F54" w:rsidP="00687E2E">
      <w:pPr>
        <w:spacing w:line="360" w:lineRule="auto"/>
        <w:ind w:left="357"/>
        <w:jc w:val="both"/>
        <w:rPr>
          <w:rFonts w:ascii="Times New Roman" w:hAnsi="Times New Roman" w:cs="Times New Roman"/>
          <w:sz w:val="28"/>
          <w:szCs w:val="28"/>
          <w:lang w:val="es-MX"/>
        </w:rPr>
      </w:pPr>
    </w:p>
    <w:p w:rsidR="00450F54" w:rsidRPr="00E33A7C" w:rsidRDefault="00450F54"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16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atañe a la revocación de la oferta; el 15 al retiro de la misma.</w:t>
      </w:r>
      <w:r w:rsidR="00753FA0" w:rsidRPr="00E33A7C">
        <w:rPr>
          <w:rFonts w:ascii="Times New Roman" w:hAnsi="Times New Roman" w:cs="Times New Roman"/>
          <w:sz w:val="28"/>
          <w:szCs w:val="28"/>
          <w:lang w:val="es-MX"/>
        </w:rPr>
        <w:t xml:space="preserve"> Estos fenómenos son de naturaleza y proyección diferentes. El retiro ocurre antes de que la oferta se haga efectiva en el caso de la revocación s</w:t>
      </w:r>
      <w:r w:rsidR="00EB1F16">
        <w:rPr>
          <w:rFonts w:ascii="Times New Roman" w:hAnsi="Times New Roman" w:cs="Times New Roman"/>
          <w:sz w:val="28"/>
          <w:szCs w:val="28"/>
          <w:lang w:val="es-MX"/>
        </w:rPr>
        <w:t>e</w:t>
      </w:r>
      <w:r w:rsidR="00753FA0" w:rsidRPr="00E33A7C">
        <w:rPr>
          <w:rFonts w:ascii="Times New Roman" w:hAnsi="Times New Roman" w:cs="Times New Roman"/>
          <w:sz w:val="28"/>
          <w:szCs w:val="28"/>
          <w:lang w:val="es-MX"/>
        </w:rPr>
        <w:t xml:space="preserve"> deja sin valor un declaración de voluntad  que con anterioridad ya había adquirido efectividad</w:t>
      </w:r>
      <w:r w:rsidR="00753FA0" w:rsidRPr="00E33A7C">
        <w:rPr>
          <w:rStyle w:val="FootnoteReference"/>
          <w:rFonts w:ascii="Times New Roman" w:hAnsi="Times New Roman" w:cs="Times New Roman"/>
          <w:sz w:val="28"/>
          <w:szCs w:val="28"/>
          <w:lang w:val="es-MX"/>
        </w:rPr>
        <w:footnoteReference w:id="18"/>
      </w:r>
      <w:r w:rsidR="00753FA0" w:rsidRPr="00E33A7C">
        <w:rPr>
          <w:rFonts w:ascii="Times New Roman" w:hAnsi="Times New Roman" w:cs="Times New Roman"/>
          <w:sz w:val="28"/>
          <w:szCs w:val="28"/>
          <w:lang w:val="es-MX"/>
        </w:rPr>
        <w:t xml:space="preserve">. Los efectos de retirar la oferta y de revocarla sin distintos. El oferente que retira la oferta normalmente no incurre en responsabilidad. </w:t>
      </w:r>
      <w:r w:rsidR="00F7734B" w:rsidRPr="00E33A7C">
        <w:rPr>
          <w:rFonts w:ascii="Times New Roman" w:hAnsi="Times New Roman" w:cs="Times New Roman"/>
          <w:sz w:val="28"/>
          <w:szCs w:val="28"/>
          <w:lang w:val="es-MX"/>
        </w:rPr>
        <w:t>El que revoca la oferta si.</w:t>
      </w:r>
    </w:p>
    <w:p w:rsidR="00F7734B" w:rsidRPr="00E33A7C" w:rsidRDefault="00F7734B" w:rsidP="00687E2E">
      <w:pPr>
        <w:spacing w:line="360" w:lineRule="auto"/>
        <w:ind w:left="357"/>
        <w:jc w:val="both"/>
        <w:rPr>
          <w:rFonts w:ascii="Times New Roman" w:hAnsi="Times New Roman" w:cs="Times New Roman"/>
          <w:sz w:val="28"/>
          <w:szCs w:val="28"/>
          <w:lang w:val="es-MX"/>
        </w:rPr>
      </w:pPr>
    </w:p>
    <w:p w:rsidR="00704EBA" w:rsidRPr="00E33A7C" w:rsidRDefault="00F7734B"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16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se refiere a la revocación de la oferta y señala que cabe si llega al destinatario  antes de que haya enviado la aceptación. La propia norma expresa que no procede la revocatoria</w:t>
      </w:r>
      <w:r w:rsidR="00AA3D4F" w:rsidRPr="00E33A7C">
        <w:rPr>
          <w:rFonts w:ascii="Times New Roman" w:hAnsi="Times New Roman" w:cs="Times New Roman"/>
          <w:sz w:val="28"/>
          <w:szCs w:val="28"/>
          <w:lang w:val="es-MX"/>
        </w:rPr>
        <w:t xml:space="preserve"> si la oferta al señalar un plazo fijo para la aceptación u otro modo al efecto advierte que es irrevocable o si el destinatario podía razonablemente considerar que la oferta es irrevocable  y ha actuado basándose en la oferta. La solución de </w:t>
      </w:r>
      <w:smartTag w:uri="urn:schemas-microsoft-com:office:smarttags" w:element="PersonName">
        <w:smartTagPr>
          <w:attr w:name="ProductID" w:val="la CV"/>
        </w:smartTagPr>
        <w:r w:rsidR="00AA3D4F" w:rsidRPr="00E33A7C">
          <w:rPr>
            <w:rFonts w:ascii="Times New Roman" w:hAnsi="Times New Roman" w:cs="Times New Roman"/>
            <w:sz w:val="28"/>
            <w:szCs w:val="28"/>
            <w:lang w:val="es-MX"/>
          </w:rPr>
          <w:t>la CV</w:t>
        </w:r>
      </w:smartTag>
      <w:r w:rsidR="00AA3D4F" w:rsidRPr="00E33A7C">
        <w:rPr>
          <w:rFonts w:ascii="Times New Roman" w:hAnsi="Times New Roman" w:cs="Times New Roman"/>
          <w:sz w:val="28"/>
          <w:szCs w:val="28"/>
          <w:lang w:val="es-MX"/>
        </w:rPr>
        <w:t xml:space="preserve"> de que por lo general la oferta es revocable </w:t>
      </w:r>
      <w:r w:rsidR="00AA3D4F" w:rsidRPr="00E33A7C">
        <w:rPr>
          <w:rFonts w:ascii="Times New Roman" w:hAnsi="Times New Roman" w:cs="Times New Roman"/>
          <w:sz w:val="28"/>
          <w:szCs w:val="28"/>
          <w:lang w:val="es-MX"/>
        </w:rPr>
        <w:lastRenderedPageBreak/>
        <w:t xml:space="preserve">no es de fácil recibo por el hecho de que llegada la misma al destinatario y en el tiempo que media para que remita su aceptación puede </w:t>
      </w:r>
      <w:r w:rsidR="002F0FDA" w:rsidRPr="00E33A7C">
        <w:rPr>
          <w:rFonts w:ascii="Times New Roman" w:hAnsi="Times New Roman" w:cs="Times New Roman"/>
          <w:sz w:val="28"/>
          <w:szCs w:val="28"/>
          <w:lang w:val="es-MX"/>
        </w:rPr>
        <w:t>‘e</w:t>
      </w:r>
      <w:r w:rsidR="00AA3D4F" w:rsidRPr="00E33A7C">
        <w:rPr>
          <w:rFonts w:ascii="Times New Roman" w:hAnsi="Times New Roman" w:cs="Times New Roman"/>
          <w:sz w:val="28"/>
          <w:szCs w:val="28"/>
          <w:lang w:val="es-MX"/>
        </w:rPr>
        <w:t xml:space="preserve">ste </w:t>
      </w:r>
      <w:r w:rsidR="002F0FDA" w:rsidRPr="00E33A7C">
        <w:rPr>
          <w:rFonts w:ascii="Times New Roman" w:hAnsi="Times New Roman" w:cs="Times New Roman"/>
          <w:sz w:val="28"/>
          <w:szCs w:val="28"/>
          <w:lang w:val="es-MX"/>
        </w:rPr>
        <w:t xml:space="preserve">incurrir en </w:t>
      </w:r>
      <w:r w:rsidR="00AA3D4F" w:rsidRPr="00E33A7C">
        <w:rPr>
          <w:rFonts w:ascii="Times New Roman" w:hAnsi="Times New Roman" w:cs="Times New Roman"/>
          <w:sz w:val="28"/>
          <w:szCs w:val="28"/>
          <w:lang w:val="es-MX"/>
        </w:rPr>
        <w:t>gastos justificados por una razonable expectativa de</w:t>
      </w:r>
      <w:r w:rsidR="007109AA" w:rsidRPr="00E33A7C">
        <w:rPr>
          <w:rFonts w:ascii="Times New Roman" w:hAnsi="Times New Roman" w:cs="Times New Roman"/>
          <w:sz w:val="28"/>
          <w:szCs w:val="28"/>
          <w:lang w:val="es-MX"/>
        </w:rPr>
        <w:t xml:space="preserve"> que la oferta es en firme. Es verdad que esa es prácticamente la solución del literal b) del número 2 del artículo 16 de </w:t>
      </w:r>
      <w:smartTag w:uri="urn:schemas-microsoft-com:office:smarttags" w:element="PersonName">
        <w:smartTagPr>
          <w:attr w:name="ProductID" w:val="la CV"/>
        </w:smartTagPr>
        <w:r w:rsidR="007109AA" w:rsidRPr="00E33A7C">
          <w:rPr>
            <w:rFonts w:ascii="Times New Roman" w:hAnsi="Times New Roman" w:cs="Times New Roman"/>
            <w:sz w:val="28"/>
            <w:szCs w:val="28"/>
            <w:lang w:val="es-MX"/>
          </w:rPr>
          <w:t>la CV</w:t>
        </w:r>
      </w:smartTag>
      <w:r w:rsidR="007109AA" w:rsidRPr="00E33A7C">
        <w:rPr>
          <w:rFonts w:ascii="Times New Roman" w:hAnsi="Times New Roman" w:cs="Times New Roman"/>
          <w:sz w:val="28"/>
          <w:szCs w:val="28"/>
          <w:lang w:val="es-MX"/>
        </w:rPr>
        <w:t xml:space="preserve">, mas, se ha de advertir que tal solución se la presenta como un caso de irrevocabilidad y no como una regla general, la que sigue siendo la revocabilidad de la oferta. El artículo 143 del Código Comercio parvamente dice: </w:t>
      </w:r>
      <w:r w:rsidR="007109AA" w:rsidRPr="00E33A7C">
        <w:rPr>
          <w:rFonts w:ascii="Times New Roman" w:hAnsi="Times New Roman" w:cs="Times New Roman"/>
          <w:i/>
          <w:sz w:val="28"/>
          <w:szCs w:val="28"/>
          <w:lang w:val="es-MX"/>
        </w:rPr>
        <w:t>El proponente puede arrepentirse en el tiempo que medie entre el envío de la propuesta y la aceptación</w:t>
      </w:r>
      <w:r w:rsidR="007109AA" w:rsidRPr="00E33A7C">
        <w:rPr>
          <w:rFonts w:ascii="Times New Roman" w:hAnsi="Times New Roman" w:cs="Times New Roman"/>
          <w:sz w:val="28"/>
          <w:szCs w:val="28"/>
          <w:lang w:val="es-MX"/>
        </w:rPr>
        <w:t xml:space="preserve">. </w:t>
      </w:r>
    </w:p>
    <w:p w:rsidR="00704EBA" w:rsidRPr="00E33A7C" w:rsidRDefault="00704EBA" w:rsidP="00687E2E">
      <w:pPr>
        <w:spacing w:line="360" w:lineRule="auto"/>
        <w:ind w:left="357"/>
        <w:jc w:val="both"/>
        <w:rPr>
          <w:rFonts w:ascii="Times New Roman" w:hAnsi="Times New Roman" w:cs="Times New Roman"/>
          <w:sz w:val="28"/>
          <w:szCs w:val="28"/>
          <w:lang w:val="es-MX"/>
        </w:rPr>
      </w:pPr>
    </w:p>
    <w:p w:rsidR="003D02B1" w:rsidRPr="00E33A7C" w:rsidRDefault="00704EBA"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Juan Pablo Cárdenas Mejía en su estudio monográfico sobre la formación del contrato de compraventa internacional de mercaderías subraya que la solución del CV de que el principio general es el de la revocabilidad de la oferta obedece a que en esta parte se aceptó la posición de los países que pertenecen al </w:t>
      </w:r>
      <w:r w:rsidRPr="00E33A7C">
        <w:rPr>
          <w:rFonts w:ascii="Times New Roman" w:hAnsi="Times New Roman" w:cs="Times New Roman"/>
          <w:i/>
          <w:sz w:val="28"/>
          <w:szCs w:val="28"/>
          <w:lang w:val="es-MX"/>
        </w:rPr>
        <w:t>common law</w:t>
      </w:r>
      <w:r w:rsidRPr="00E33A7C">
        <w:rPr>
          <w:rStyle w:val="FootnoteReference"/>
          <w:rFonts w:ascii="Times New Roman" w:hAnsi="Times New Roman" w:cs="Times New Roman"/>
          <w:i/>
          <w:sz w:val="28"/>
          <w:szCs w:val="28"/>
          <w:lang w:val="es-MX"/>
        </w:rPr>
        <w:footnoteReference w:id="19"/>
      </w:r>
      <w:r w:rsidR="00956CA4" w:rsidRPr="00E33A7C">
        <w:rPr>
          <w:rFonts w:ascii="Times New Roman" w:hAnsi="Times New Roman" w:cs="Times New Roman"/>
          <w:sz w:val="28"/>
          <w:szCs w:val="28"/>
          <w:lang w:val="es-MX"/>
        </w:rPr>
        <w:t xml:space="preserve">. </w:t>
      </w:r>
      <w:r w:rsidR="003D02B1" w:rsidRPr="00E33A7C">
        <w:rPr>
          <w:rFonts w:ascii="Times New Roman" w:hAnsi="Times New Roman" w:cs="Times New Roman"/>
          <w:sz w:val="28"/>
          <w:szCs w:val="28"/>
          <w:lang w:val="es-MX"/>
        </w:rPr>
        <w:t xml:space="preserve">La tesis de la revocabilidad de la oferta tiene sustento en que aún no se ha perfeccionado el contrato. Ello es discutible, pues, tal perfeccionamiento se suscita con la aceptación, y no con la  consecuente notificación que es un hecho posterior. En el fondo, </w:t>
      </w:r>
      <w:smartTag w:uri="urn:schemas-microsoft-com:office:smarttags" w:element="PersonName">
        <w:smartTagPr>
          <w:attr w:name="ProductID" w:val="la CV"/>
        </w:smartTagPr>
        <w:r w:rsidR="003D02B1" w:rsidRPr="00E33A7C">
          <w:rPr>
            <w:rFonts w:ascii="Times New Roman" w:hAnsi="Times New Roman" w:cs="Times New Roman"/>
            <w:sz w:val="28"/>
            <w:szCs w:val="28"/>
            <w:lang w:val="es-MX"/>
          </w:rPr>
          <w:t>la CV</w:t>
        </w:r>
      </w:smartTag>
      <w:r w:rsidR="003D02B1" w:rsidRPr="00E33A7C">
        <w:rPr>
          <w:rFonts w:ascii="Times New Roman" w:hAnsi="Times New Roman" w:cs="Times New Roman"/>
          <w:sz w:val="28"/>
          <w:szCs w:val="28"/>
          <w:lang w:val="es-MX"/>
        </w:rPr>
        <w:t xml:space="preserve"> permite como regla general la revocación o retracción de la oferta cuando el contrato se ha perfeccionado. Podrían derivarse de tal posición efectos dañosos al destinatario aceptante.</w:t>
      </w:r>
    </w:p>
    <w:p w:rsidR="006A25BA" w:rsidRPr="00E33A7C" w:rsidRDefault="006A25BA" w:rsidP="00687E2E">
      <w:pPr>
        <w:spacing w:line="360" w:lineRule="auto"/>
        <w:ind w:left="357"/>
        <w:jc w:val="both"/>
        <w:rPr>
          <w:rFonts w:ascii="Times New Roman" w:hAnsi="Times New Roman" w:cs="Times New Roman"/>
          <w:sz w:val="28"/>
          <w:szCs w:val="28"/>
          <w:lang w:val="es-MX"/>
        </w:rPr>
      </w:pPr>
    </w:p>
    <w:p w:rsidR="003D02B1" w:rsidRPr="00E33A7C" w:rsidRDefault="00A401BC"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17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contempla la extinción de la oferta cuanto el rechazo llegue al oferente, aunque la misma sea irrevocable. De su parte el artículo 18</w:t>
      </w:r>
      <w:r w:rsidR="00B32F81" w:rsidRPr="00E33A7C">
        <w:rPr>
          <w:rFonts w:ascii="Times New Roman" w:hAnsi="Times New Roman" w:cs="Times New Roman"/>
          <w:sz w:val="28"/>
          <w:szCs w:val="28"/>
          <w:lang w:val="es-MX"/>
        </w:rPr>
        <w:t xml:space="preserve"> numeral 2 señala que también se extingue la oferta  </w:t>
      </w:r>
      <w:r w:rsidR="00B32F81" w:rsidRPr="00E33A7C">
        <w:rPr>
          <w:rFonts w:ascii="Times New Roman" w:hAnsi="Times New Roman" w:cs="Times New Roman"/>
          <w:sz w:val="28"/>
          <w:szCs w:val="28"/>
          <w:lang w:val="es-MX"/>
        </w:rPr>
        <w:lastRenderedPageBreak/>
        <w:t>cuando ya no puede ser aceptada por haber fenecido el plazo fijado por el proponente o por haber transcurrido un plazo razonable atendidas las circunstancias. También comporta rechazo la respuesta a una oferta que pretenda ser una aceptación y que contenga adiciones u otras modificaciones. La misma se repu</w:t>
      </w:r>
      <w:r w:rsidR="006F01B5" w:rsidRPr="00E33A7C">
        <w:rPr>
          <w:rFonts w:ascii="Times New Roman" w:hAnsi="Times New Roman" w:cs="Times New Roman"/>
          <w:sz w:val="28"/>
          <w:szCs w:val="28"/>
          <w:lang w:val="es-MX"/>
        </w:rPr>
        <w:t>t</w:t>
      </w:r>
      <w:r w:rsidR="00B32F81" w:rsidRPr="00E33A7C">
        <w:rPr>
          <w:rFonts w:ascii="Times New Roman" w:hAnsi="Times New Roman" w:cs="Times New Roman"/>
          <w:sz w:val="28"/>
          <w:szCs w:val="28"/>
          <w:lang w:val="es-MX"/>
        </w:rPr>
        <w:t xml:space="preserve">a una contraoferta en los términos del artículo 19 1) de </w:t>
      </w:r>
      <w:smartTag w:uri="urn:schemas-microsoft-com:office:smarttags" w:element="PersonName">
        <w:smartTagPr>
          <w:attr w:name="ProductID" w:val="la CV. Igual"/>
        </w:smartTagPr>
        <w:smartTag w:uri="urn:schemas-microsoft-com:office:smarttags" w:element="PersonName">
          <w:smartTagPr>
            <w:attr w:name="ProductID" w:val="la CV."/>
          </w:smartTagPr>
          <w:r w:rsidR="00B32F81" w:rsidRPr="00E33A7C">
            <w:rPr>
              <w:rFonts w:ascii="Times New Roman" w:hAnsi="Times New Roman" w:cs="Times New Roman"/>
              <w:sz w:val="28"/>
              <w:szCs w:val="28"/>
              <w:lang w:val="es-MX"/>
            </w:rPr>
            <w:t>la CV.</w:t>
          </w:r>
        </w:smartTag>
        <w:r w:rsidR="00B32F81" w:rsidRPr="00E33A7C">
          <w:rPr>
            <w:rFonts w:ascii="Times New Roman" w:hAnsi="Times New Roman" w:cs="Times New Roman"/>
            <w:sz w:val="28"/>
            <w:szCs w:val="28"/>
            <w:lang w:val="es-MX"/>
          </w:rPr>
          <w:t xml:space="preserve"> </w:t>
        </w:r>
        <w:r w:rsidR="006F01B5" w:rsidRPr="00E33A7C">
          <w:rPr>
            <w:rFonts w:ascii="Times New Roman" w:hAnsi="Times New Roman" w:cs="Times New Roman"/>
            <w:sz w:val="28"/>
            <w:szCs w:val="28"/>
            <w:lang w:val="es-MX"/>
          </w:rPr>
          <w:t>Igual</w:t>
        </w:r>
      </w:smartTag>
      <w:r w:rsidR="006F01B5" w:rsidRPr="00E33A7C">
        <w:rPr>
          <w:rFonts w:ascii="Times New Roman" w:hAnsi="Times New Roman" w:cs="Times New Roman"/>
          <w:sz w:val="28"/>
          <w:szCs w:val="28"/>
          <w:lang w:val="es-MX"/>
        </w:rPr>
        <w:t xml:space="preserve"> efecto estatuye el artículo 146 del Código de Comercio respecto de la aceptación condicional. La oferta no se extingue  aún  cuando haya transcurrido</w:t>
      </w:r>
      <w:r w:rsidR="00452721" w:rsidRPr="00E33A7C">
        <w:rPr>
          <w:rFonts w:ascii="Times New Roman" w:hAnsi="Times New Roman" w:cs="Times New Roman"/>
          <w:sz w:val="28"/>
          <w:szCs w:val="28"/>
          <w:lang w:val="es-MX"/>
        </w:rPr>
        <w:t xml:space="preserve"> el plazo para aceptarla en los casos que la aceptación tardía, por negligencia o voluntad del oferente, produce efectos de aceptación.</w:t>
      </w:r>
      <w:r w:rsidR="00452721" w:rsidRPr="00E33A7C">
        <w:rPr>
          <w:rStyle w:val="FootnoteReference"/>
          <w:rFonts w:ascii="Times New Roman" w:hAnsi="Times New Roman" w:cs="Times New Roman"/>
          <w:sz w:val="28"/>
          <w:szCs w:val="28"/>
          <w:lang w:val="es-MX"/>
        </w:rPr>
        <w:footnoteReference w:id="20"/>
      </w:r>
      <w:r w:rsidR="00452721" w:rsidRPr="00E33A7C">
        <w:rPr>
          <w:rFonts w:ascii="Times New Roman" w:hAnsi="Times New Roman" w:cs="Times New Roman"/>
          <w:sz w:val="28"/>
          <w:szCs w:val="28"/>
          <w:lang w:val="es-MX"/>
        </w:rPr>
        <w:t xml:space="preserve">. El caso de la muerte del oferente o de su ulterior incapacidad antes de que se perfeccione el contrato, no se encuentra aludido por </w:t>
      </w:r>
      <w:smartTag w:uri="urn:schemas-microsoft-com:office:smarttags" w:element="PersonName">
        <w:smartTagPr>
          <w:attr w:name="ProductID" w:val="la Convenci￳n. La"/>
        </w:smartTagPr>
        <w:smartTag w:uri="urn:schemas-microsoft-com:office:smarttags" w:element="PersonName">
          <w:smartTagPr>
            <w:attr w:name="ProductID" w:val="la Convenci￳n."/>
          </w:smartTagPr>
          <w:r w:rsidR="00452721" w:rsidRPr="00E33A7C">
            <w:rPr>
              <w:rFonts w:ascii="Times New Roman" w:hAnsi="Times New Roman" w:cs="Times New Roman"/>
              <w:sz w:val="28"/>
              <w:szCs w:val="28"/>
              <w:lang w:val="es-MX"/>
            </w:rPr>
            <w:t>la Convención.</w:t>
          </w:r>
        </w:smartTag>
        <w:r w:rsidR="00452721" w:rsidRPr="00E33A7C">
          <w:rPr>
            <w:rFonts w:ascii="Times New Roman" w:hAnsi="Times New Roman" w:cs="Times New Roman"/>
            <w:sz w:val="28"/>
            <w:szCs w:val="28"/>
            <w:lang w:val="es-MX"/>
          </w:rPr>
          <w:t xml:space="preserve"> La</w:t>
        </w:r>
      </w:smartTag>
      <w:r w:rsidR="00452721" w:rsidRPr="00E33A7C">
        <w:rPr>
          <w:rFonts w:ascii="Times New Roman" w:hAnsi="Times New Roman" w:cs="Times New Roman"/>
          <w:sz w:val="28"/>
          <w:szCs w:val="28"/>
          <w:lang w:val="es-MX"/>
        </w:rPr>
        <w:t xml:space="preserve"> oferta es una declaración de voluntad y como tal produce efectos desde que se la profiere. De allí cabría deducir que tales hechos no dan asidero a la extinción de la oferta.</w:t>
      </w:r>
      <w:r w:rsidR="004B291E" w:rsidRPr="00E33A7C">
        <w:rPr>
          <w:rFonts w:ascii="Times New Roman" w:hAnsi="Times New Roman" w:cs="Times New Roman"/>
          <w:sz w:val="28"/>
          <w:szCs w:val="28"/>
          <w:lang w:val="es-MX"/>
        </w:rPr>
        <w:t xml:space="preserve"> El artículo 145 del Código de Comercio es enigmático. En la parte pertinente, dice que el contrato no se perfecciona si antes de darse la respuesta, se refiere a la aceptación, ocurra la retractación, muerte  o incapacidad del proponente, se refiere al oferente, salvo indemnización de gastos, daños y perjuicios, los cuales se encuentran previstos en el artículo 144 para el caso de retractación intempestiva, mas no para el de muerte o incapacidad legal. Entre las cuestiones que regula </w:t>
      </w:r>
      <w:smartTag w:uri="urn:schemas-microsoft-com:office:smarttags" w:element="PersonName">
        <w:smartTagPr>
          <w:attr w:name="ProductID" w:val="la CV"/>
        </w:smartTagPr>
        <w:r w:rsidR="004B291E" w:rsidRPr="00E33A7C">
          <w:rPr>
            <w:rFonts w:ascii="Times New Roman" w:hAnsi="Times New Roman" w:cs="Times New Roman"/>
            <w:sz w:val="28"/>
            <w:szCs w:val="28"/>
            <w:lang w:val="es-MX"/>
          </w:rPr>
          <w:t>la CV</w:t>
        </w:r>
      </w:smartTag>
      <w:r w:rsidR="004B291E" w:rsidRPr="00E33A7C">
        <w:rPr>
          <w:rFonts w:ascii="Times New Roman" w:hAnsi="Times New Roman" w:cs="Times New Roman"/>
          <w:sz w:val="28"/>
          <w:szCs w:val="28"/>
          <w:lang w:val="es-MX"/>
        </w:rPr>
        <w:t>, según el artículo 4 se encuentra la formación  del contrato</w:t>
      </w:r>
      <w:r w:rsidR="005A30BD" w:rsidRPr="00E33A7C">
        <w:rPr>
          <w:rFonts w:ascii="Times New Roman" w:hAnsi="Times New Roman" w:cs="Times New Roman"/>
          <w:sz w:val="28"/>
          <w:szCs w:val="28"/>
          <w:lang w:val="es-MX"/>
        </w:rPr>
        <w:t xml:space="preserve">. El tema aludido, por ello, no debe responderse con la legislación interna, pues, no existe disposición de reenvío al propósito. Hay que reconocer simple y llanamente que los casos de fallecimiento o de incapacidad superviniente no están regulados por </w:t>
      </w:r>
      <w:smartTag w:uri="urn:schemas-microsoft-com:office:smarttags" w:element="PersonName">
        <w:smartTagPr>
          <w:attr w:name="ProductID" w:val="la CV. El"/>
        </w:smartTagPr>
        <w:smartTag w:uri="urn:schemas-microsoft-com:office:smarttags" w:element="PersonName">
          <w:smartTagPr>
            <w:attr w:name="ProductID" w:val="la CV."/>
          </w:smartTagPr>
          <w:r w:rsidR="005A30BD" w:rsidRPr="00E33A7C">
            <w:rPr>
              <w:rFonts w:ascii="Times New Roman" w:hAnsi="Times New Roman" w:cs="Times New Roman"/>
              <w:sz w:val="28"/>
              <w:szCs w:val="28"/>
              <w:lang w:val="es-MX"/>
            </w:rPr>
            <w:t>la CV.</w:t>
          </w:r>
        </w:smartTag>
        <w:r w:rsidR="005A30BD" w:rsidRPr="00E33A7C">
          <w:rPr>
            <w:rFonts w:ascii="Times New Roman" w:hAnsi="Times New Roman" w:cs="Times New Roman"/>
            <w:sz w:val="28"/>
            <w:szCs w:val="28"/>
            <w:lang w:val="es-MX"/>
          </w:rPr>
          <w:t xml:space="preserve"> El</w:t>
        </w:r>
      </w:smartTag>
      <w:r w:rsidR="005A30BD" w:rsidRPr="00E33A7C">
        <w:rPr>
          <w:rFonts w:ascii="Times New Roman" w:hAnsi="Times New Roman" w:cs="Times New Roman"/>
          <w:sz w:val="28"/>
          <w:szCs w:val="28"/>
          <w:lang w:val="es-MX"/>
        </w:rPr>
        <w:t xml:space="preserve"> </w:t>
      </w:r>
      <w:r w:rsidR="005A30BD" w:rsidRPr="00E33A7C">
        <w:rPr>
          <w:rFonts w:ascii="Times New Roman" w:hAnsi="Times New Roman" w:cs="Times New Roman"/>
          <w:i/>
          <w:sz w:val="28"/>
          <w:szCs w:val="28"/>
          <w:lang w:val="es-MX"/>
        </w:rPr>
        <w:t>quid</w:t>
      </w:r>
      <w:r w:rsidR="005A30BD" w:rsidRPr="00E33A7C">
        <w:rPr>
          <w:rFonts w:ascii="Times New Roman" w:hAnsi="Times New Roman" w:cs="Times New Roman"/>
          <w:sz w:val="28"/>
          <w:szCs w:val="28"/>
          <w:lang w:val="es-MX"/>
        </w:rPr>
        <w:t xml:space="preserve"> de la cuestión estriba en discernir la naturaleza de la oferta como declaración de voluntad y sus efectos antes de que se perfeccione el contrato. La </w:t>
      </w:r>
      <w:r w:rsidR="005A30BD" w:rsidRPr="00E33A7C">
        <w:rPr>
          <w:rFonts w:ascii="Times New Roman" w:hAnsi="Times New Roman" w:cs="Times New Roman"/>
          <w:sz w:val="28"/>
          <w:szCs w:val="28"/>
          <w:lang w:val="es-MX"/>
        </w:rPr>
        <w:lastRenderedPageBreak/>
        <w:t>extinción de la oferta comporta una verdadera caducidad y a</w:t>
      </w:r>
      <w:r w:rsidR="00DC7B3F" w:rsidRPr="00E33A7C">
        <w:rPr>
          <w:rFonts w:ascii="Times New Roman" w:hAnsi="Times New Roman" w:cs="Times New Roman"/>
          <w:sz w:val="28"/>
          <w:szCs w:val="28"/>
          <w:lang w:val="es-MX"/>
        </w:rPr>
        <w:t>sí la denominan algunos autores</w:t>
      </w:r>
      <w:r w:rsidR="00DC7B3F" w:rsidRPr="00E33A7C">
        <w:rPr>
          <w:rStyle w:val="FootnoteReference"/>
          <w:rFonts w:ascii="Times New Roman" w:hAnsi="Times New Roman" w:cs="Times New Roman"/>
          <w:sz w:val="28"/>
          <w:szCs w:val="28"/>
          <w:lang w:val="es-MX"/>
        </w:rPr>
        <w:footnoteReference w:id="21"/>
      </w:r>
      <w:r w:rsidR="00DC7B3F" w:rsidRPr="00E33A7C">
        <w:rPr>
          <w:rFonts w:ascii="Times New Roman" w:hAnsi="Times New Roman" w:cs="Times New Roman"/>
          <w:sz w:val="28"/>
          <w:szCs w:val="28"/>
          <w:lang w:val="es-MX"/>
        </w:rPr>
        <w:t>. Singularmente esa es la situación que se deriva cuando la oferta, aunque fuere irrevocable se extingue cuando el rechazo llegue al proponente.</w:t>
      </w:r>
    </w:p>
    <w:p w:rsidR="00713FB0" w:rsidRPr="00E33A7C" w:rsidRDefault="00713FB0" w:rsidP="00687E2E">
      <w:pPr>
        <w:spacing w:line="360" w:lineRule="auto"/>
        <w:ind w:left="357"/>
        <w:jc w:val="both"/>
        <w:rPr>
          <w:rFonts w:ascii="Times New Roman" w:hAnsi="Times New Roman" w:cs="Times New Roman"/>
          <w:sz w:val="28"/>
          <w:szCs w:val="28"/>
          <w:lang w:val="es-MX"/>
        </w:rPr>
      </w:pPr>
    </w:p>
    <w:p w:rsidR="00713FB0" w:rsidRPr="00E33A7C" w:rsidRDefault="00713FB0"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Los artículos </w:t>
      </w:r>
      <w:smartTag w:uri="urn:schemas-microsoft-com:office:smarttags" w:element="metricconverter">
        <w:smartTagPr>
          <w:attr w:name="ProductID" w:val="18 a"/>
        </w:smartTagPr>
        <w:r w:rsidRPr="00E33A7C">
          <w:rPr>
            <w:rFonts w:ascii="Times New Roman" w:hAnsi="Times New Roman" w:cs="Times New Roman"/>
            <w:sz w:val="28"/>
            <w:szCs w:val="28"/>
            <w:lang w:val="es-MX"/>
          </w:rPr>
          <w:t>18 a</w:t>
        </w:r>
      </w:smartTag>
      <w:r w:rsidRPr="00E33A7C">
        <w:rPr>
          <w:rFonts w:ascii="Times New Roman" w:hAnsi="Times New Roman" w:cs="Times New Roman"/>
          <w:sz w:val="28"/>
          <w:szCs w:val="28"/>
          <w:lang w:val="es-MX"/>
        </w:rPr>
        <w:t xml:space="preserve"> 23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atañen a la aceptación y al perfeccionamiento del contrato de compraventa internacional de mercaderías. La aceptación puede ser expresa o tácita. El silencio no constituye </w:t>
      </w:r>
      <w:r w:rsidR="00AD567B" w:rsidRPr="00E33A7C">
        <w:rPr>
          <w:rFonts w:ascii="Times New Roman" w:hAnsi="Times New Roman" w:cs="Times New Roman"/>
          <w:sz w:val="28"/>
          <w:szCs w:val="28"/>
          <w:lang w:val="es-MX"/>
        </w:rPr>
        <w:t>aceptación salvo usos preexistentes interpartes lo cual ha de considerarse excepcional.</w:t>
      </w:r>
      <w:r w:rsidR="001009AF" w:rsidRPr="00E33A7C">
        <w:rPr>
          <w:rFonts w:ascii="Times New Roman" w:hAnsi="Times New Roman" w:cs="Times New Roman"/>
          <w:sz w:val="28"/>
          <w:szCs w:val="28"/>
          <w:lang w:val="es-MX"/>
        </w:rPr>
        <w:t xml:space="preserve"> Ha de tenerse presente que la aceptación es también, al igual que la oferta, una declaración de voluntad</w:t>
      </w:r>
      <w:r w:rsidR="00F13826" w:rsidRPr="00E33A7C">
        <w:rPr>
          <w:rFonts w:ascii="Times New Roman" w:hAnsi="Times New Roman" w:cs="Times New Roman"/>
          <w:sz w:val="28"/>
          <w:szCs w:val="28"/>
          <w:lang w:val="es-MX"/>
        </w:rPr>
        <w:t xml:space="preserve">. Sobre el punto, F. de Castro, mencionado por Calvo Caravaca dice: </w:t>
      </w:r>
      <w:r w:rsidR="00F13826" w:rsidRPr="00E33A7C">
        <w:rPr>
          <w:rFonts w:ascii="Times New Roman" w:hAnsi="Times New Roman" w:cs="Times New Roman"/>
          <w:i/>
          <w:sz w:val="28"/>
          <w:szCs w:val="28"/>
          <w:lang w:val="es-MX"/>
        </w:rPr>
        <w:t>el silencio puede  adquirir  valor significativo como verdadera declaración de voluntad  sobre una base negocial o normativa, es decir, cuan expresa o tácitamente se le atribuya el significado de aceptación o cuando la vinculación por silencio resulte de una disposición legal, del uso o de la buena fe</w:t>
      </w:r>
      <w:r w:rsidR="00F13826" w:rsidRPr="00E33A7C">
        <w:rPr>
          <w:rStyle w:val="FootnoteReference"/>
          <w:rFonts w:ascii="Times New Roman" w:hAnsi="Times New Roman" w:cs="Times New Roman"/>
          <w:sz w:val="28"/>
          <w:szCs w:val="28"/>
          <w:lang w:val="es-MX"/>
        </w:rPr>
        <w:footnoteReference w:id="22"/>
      </w:r>
      <w:r w:rsidR="00632C6F" w:rsidRPr="00E33A7C">
        <w:rPr>
          <w:rFonts w:ascii="Times New Roman" w:hAnsi="Times New Roman" w:cs="Times New Roman"/>
          <w:sz w:val="28"/>
          <w:szCs w:val="28"/>
          <w:lang w:val="es-MX"/>
        </w:rPr>
        <w:t>.</w:t>
      </w:r>
      <w:r w:rsidR="00F13826" w:rsidRPr="00E33A7C">
        <w:rPr>
          <w:rFonts w:ascii="Times New Roman" w:hAnsi="Times New Roman" w:cs="Times New Roman"/>
          <w:sz w:val="28"/>
          <w:szCs w:val="28"/>
          <w:lang w:val="es-MX"/>
        </w:rPr>
        <w:t xml:space="preserve"> Podrían, además, los usos mercantiles exigir el rechazo de la oferta y dar a su omisión el significado de aceptación</w:t>
      </w:r>
      <w:r w:rsidR="00632C6F" w:rsidRPr="00E33A7C">
        <w:rPr>
          <w:rFonts w:ascii="Times New Roman" w:hAnsi="Times New Roman" w:cs="Times New Roman"/>
          <w:sz w:val="28"/>
          <w:szCs w:val="28"/>
          <w:lang w:val="es-MX"/>
        </w:rPr>
        <w:t>.</w:t>
      </w:r>
    </w:p>
    <w:p w:rsidR="00AD567B" w:rsidRPr="00E33A7C" w:rsidRDefault="00AD567B" w:rsidP="00687E2E">
      <w:pPr>
        <w:spacing w:line="360" w:lineRule="auto"/>
        <w:ind w:left="357"/>
        <w:jc w:val="both"/>
        <w:rPr>
          <w:rFonts w:ascii="Times New Roman" w:hAnsi="Times New Roman" w:cs="Times New Roman"/>
          <w:sz w:val="28"/>
          <w:szCs w:val="28"/>
          <w:lang w:val="es-MX"/>
        </w:rPr>
      </w:pPr>
    </w:p>
    <w:p w:rsidR="00AD567B" w:rsidRPr="00E33A7C" w:rsidRDefault="00AD567B"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La aceptación tácita es una </w:t>
      </w:r>
      <w:r w:rsidRPr="00E33A7C">
        <w:rPr>
          <w:rFonts w:ascii="Times New Roman" w:hAnsi="Times New Roman" w:cs="Times New Roman"/>
          <w:i/>
          <w:sz w:val="28"/>
          <w:szCs w:val="28"/>
          <w:lang w:val="es-MX"/>
        </w:rPr>
        <w:t>aceptación inferida</w:t>
      </w:r>
      <w:r w:rsidRPr="00E33A7C">
        <w:rPr>
          <w:rFonts w:ascii="Times New Roman" w:hAnsi="Times New Roman" w:cs="Times New Roman"/>
          <w:sz w:val="28"/>
          <w:szCs w:val="28"/>
          <w:lang w:val="es-MX"/>
        </w:rPr>
        <w:t xml:space="preserve"> de la conducta del aceptante. Si este último paga el precio o realiza  actos que supongan la ejecución del contrato o preparación del mismo se entendería que existe aceptación tácita. No bastaría</w:t>
      </w:r>
      <w:r w:rsidR="00DC7B3F" w:rsidRPr="00E33A7C">
        <w:rPr>
          <w:rFonts w:ascii="Times New Roman" w:hAnsi="Times New Roman" w:cs="Times New Roman"/>
          <w:sz w:val="28"/>
          <w:szCs w:val="28"/>
          <w:lang w:val="es-MX"/>
        </w:rPr>
        <w:t xml:space="preserve"> el simple hecho de </w:t>
      </w:r>
      <w:r w:rsidRPr="00E33A7C">
        <w:rPr>
          <w:rFonts w:ascii="Times New Roman" w:hAnsi="Times New Roman" w:cs="Times New Roman"/>
          <w:sz w:val="28"/>
          <w:szCs w:val="28"/>
          <w:lang w:val="es-MX"/>
        </w:rPr>
        <w:t xml:space="preserve"> hacer conocer que se ha recibido la oferta.</w:t>
      </w:r>
      <w:r w:rsidR="00B94E98" w:rsidRPr="00E33A7C">
        <w:rPr>
          <w:rFonts w:ascii="Times New Roman" w:hAnsi="Times New Roman" w:cs="Times New Roman"/>
          <w:sz w:val="28"/>
          <w:szCs w:val="28"/>
          <w:lang w:val="es-MX"/>
        </w:rPr>
        <w:t xml:space="preserve"> Forner y otros aluden al caso de una empresa  que no remitió ningún documento de aceptación, pero al no realizar ninguna manifestación en contrario consideró cerrado el acuerdo al recibir la </w:t>
      </w:r>
      <w:r w:rsidR="00B94E98" w:rsidRPr="00E33A7C">
        <w:rPr>
          <w:rFonts w:ascii="Times New Roman" w:hAnsi="Times New Roman" w:cs="Times New Roman"/>
          <w:sz w:val="28"/>
          <w:szCs w:val="28"/>
          <w:lang w:val="es-MX"/>
        </w:rPr>
        <w:lastRenderedPageBreak/>
        <w:t>carta de crédito documentario confirmada por el banco local, por el importe del pedido</w:t>
      </w:r>
      <w:r w:rsidR="00B94E98" w:rsidRPr="00E33A7C">
        <w:rPr>
          <w:rStyle w:val="FootnoteReference"/>
          <w:rFonts w:ascii="Times New Roman" w:hAnsi="Times New Roman" w:cs="Times New Roman"/>
          <w:sz w:val="28"/>
          <w:szCs w:val="28"/>
          <w:lang w:val="es-MX"/>
        </w:rPr>
        <w:footnoteReference w:id="23"/>
      </w:r>
    </w:p>
    <w:p w:rsidR="00235599" w:rsidRPr="00E33A7C" w:rsidRDefault="00235599" w:rsidP="00687E2E">
      <w:pPr>
        <w:spacing w:line="360" w:lineRule="auto"/>
        <w:ind w:left="357"/>
        <w:jc w:val="both"/>
        <w:rPr>
          <w:rFonts w:ascii="Times New Roman" w:hAnsi="Times New Roman" w:cs="Times New Roman"/>
          <w:sz w:val="28"/>
          <w:szCs w:val="28"/>
          <w:lang w:val="es-MX"/>
        </w:rPr>
      </w:pPr>
    </w:p>
    <w:p w:rsidR="00235599" w:rsidRPr="00E33A7C" w:rsidRDefault="00235599"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La aceptación de la oferta surte efecto cuando llegue a conocimiento del proponente en forma tempestiva, es decir dentro de plazo si se hubiere fijado uno al propósito. La aceptación de una oferta verbal ha de ser inmediata  De no fijarse plazo, </w:t>
      </w:r>
      <w:r w:rsidR="00A229A6">
        <w:rPr>
          <w:rFonts w:ascii="Times New Roman" w:hAnsi="Times New Roman" w:cs="Times New Roman"/>
          <w:sz w:val="28"/>
          <w:szCs w:val="28"/>
          <w:lang w:val="es-MX"/>
        </w:rPr>
        <w:t>l</w:t>
      </w:r>
      <w:r w:rsidRPr="00E33A7C">
        <w:rPr>
          <w:rFonts w:ascii="Times New Roman" w:hAnsi="Times New Roman" w:cs="Times New Roman"/>
          <w:sz w:val="28"/>
          <w:szCs w:val="28"/>
          <w:lang w:val="es-MX"/>
        </w:rPr>
        <w:t xml:space="preserve">a aceptación debe llegar a conocimiento del oferente en uno que se considere razonable. Los numerales 1) y 2) del artículo 20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señalan la forma como comienza a correr el plazo cuando se trate de cartas o telegramas</w:t>
      </w:r>
      <w:r w:rsidR="001009AF" w:rsidRPr="00E33A7C">
        <w:rPr>
          <w:rFonts w:ascii="Times New Roman" w:hAnsi="Times New Roman" w:cs="Times New Roman"/>
          <w:sz w:val="28"/>
          <w:szCs w:val="28"/>
          <w:lang w:val="es-MX"/>
        </w:rPr>
        <w:t xml:space="preserve"> y el hecho de que si bien no se computa el plazo durante los días feriados, si éste concluye en un día como esos,  el plazo se prorrogará hasta el primer  día laborable siguiente. Respecto  de la aceptación por teléfono, telex u otros medios el plazo fijado por el proponente comenzará a correr desde el momento que la oferta llegue al destinatario. Igual  tratamiento  habría que dar al comercio electrónico. Si la aceptación se otorga ejecutando actos conducentes al  efecto, deberán producirse tempestivamente.</w:t>
      </w:r>
    </w:p>
    <w:p w:rsidR="00632C6F" w:rsidRPr="00E33A7C" w:rsidRDefault="00632C6F" w:rsidP="00687E2E">
      <w:pPr>
        <w:spacing w:line="360" w:lineRule="auto"/>
        <w:ind w:left="357"/>
        <w:jc w:val="both"/>
        <w:rPr>
          <w:rFonts w:ascii="Times New Roman" w:hAnsi="Times New Roman" w:cs="Times New Roman"/>
          <w:sz w:val="28"/>
          <w:szCs w:val="28"/>
          <w:lang w:val="es-MX"/>
        </w:rPr>
      </w:pPr>
    </w:p>
    <w:p w:rsidR="00632C6F" w:rsidRPr="00E33A7C" w:rsidRDefault="00632C6F"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22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dispone que la aceptación </w:t>
      </w:r>
      <w:r w:rsidR="00B94E98" w:rsidRPr="00E33A7C">
        <w:rPr>
          <w:rFonts w:ascii="Times New Roman" w:hAnsi="Times New Roman" w:cs="Times New Roman"/>
          <w:sz w:val="28"/>
          <w:szCs w:val="28"/>
          <w:lang w:val="es-MX"/>
        </w:rPr>
        <w:t>pueda</w:t>
      </w:r>
      <w:r w:rsidRPr="00E33A7C">
        <w:rPr>
          <w:rFonts w:ascii="Times New Roman" w:hAnsi="Times New Roman" w:cs="Times New Roman"/>
          <w:sz w:val="28"/>
          <w:szCs w:val="28"/>
          <w:lang w:val="es-MX"/>
        </w:rPr>
        <w:t xml:space="preserve"> ser retirada</w:t>
      </w:r>
      <w:r w:rsidR="00B94E98"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si su retiro llega al oferente antes de que la aceptación haya surtido efecto o en ese momento. Se trataría de una verdadera retractación,  similar a la que prevé el artículo  15 para la oferta.</w:t>
      </w:r>
      <w:r w:rsidR="00B94E98" w:rsidRPr="00E33A7C">
        <w:rPr>
          <w:rFonts w:ascii="Times New Roman" w:hAnsi="Times New Roman" w:cs="Times New Roman"/>
          <w:sz w:val="28"/>
          <w:szCs w:val="28"/>
          <w:lang w:val="es-MX"/>
        </w:rPr>
        <w:t xml:space="preserve"> Todas las cuestiones sobre el retiro de la oferta son aplicables al retiro de la aceptación. Así  lo explicita</w:t>
      </w:r>
      <w:r w:rsidR="00540646" w:rsidRPr="00E33A7C">
        <w:rPr>
          <w:rFonts w:ascii="Times New Roman" w:hAnsi="Times New Roman" w:cs="Times New Roman"/>
          <w:sz w:val="28"/>
          <w:szCs w:val="28"/>
          <w:lang w:val="es-MX"/>
        </w:rPr>
        <w:t xml:space="preserve"> Honnold</w:t>
      </w:r>
      <w:r w:rsidR="00540646" w:rsidRPr="00E33A7C">
        <w:rPr>
          <w:rStyle w:val="FootnoteReference"/>
          <w:rFonts w:ascii="Times New Roman" w:hAnsi="Times New Roman" w:cs="Times New Roman"/>
          <w:sz w:val="28"/>
          <w:szCs w:val="28"/>
          <w:lang w:val="es-MX"/>
        </w:rPr>
        <w:footnoteReference w:id="24"/>
      </w:r>
      <w:r w:rsidR="00540646" w:rsidRPr="00E33A7C">
        <w:rPr>
          <w:rFonts w:ascii="Times New Roman" w:hAnsi="Times New Roman" w:cs="Times New Roman"/>
          <w:sz w:val="28"/>
          <w:szCs w:val="28"/>
          <w:lang w:val="es-MX"/>
        </w:rPr>
        <w:t>.</w:t>
      </w:r>
    </w:p>
    <w:p w:rsidR="00901FCD" w:rsidRPr="00E33A7C" w:rsidRDefault="00901FCD" w:rsidP="00687E2E">
      <w:pPr>
        <w:spacing w:line="360" w:lineRule="auto"/>
        <w:ind w:left="357"/>
        <w:jc w:val="both"/>
        <w:rPr>
          <w:rFonts w:ascii="Times New Roman" w:hAnsi="Times New Roman" w:cs="Times New Roman"/>
          <w:sz w:val="28"/>
          <w:szCs w:val="28"/>
          <w:lang w:val="es-MX"/>
        </w:rPr>
      </w:pPr>
    </w:p>
    <w:p w:rsidR="00901FCD" w:rsidRPr="00E33A7C" w:rsidRDefault="00901FCD"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19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atiene a la aceptación que innova  los términos de la oferta</w:t>
      </w:r>
      <w:r w:rsidR="005D2611" w:rsidRPr="00E33A7C">
        <w:rPr>
          <w:rFonts w:ascii="Times New Roman" w:hAnsi="Times New Roman" w:cs="Times New Roman"/>
          <w:sz w:val="28"/>
          <w:szCs w:val="28"/>
          <w:lang w:val="es-MX"/>
        </w:rPr>
        <w:t xml:space="preserve">. El  numeral 1) señala que la aceptación que contenga </w:t>
      </w:r>
      <w:r w:rsidR="005D2611" w:rsidRPr="00E33A7C">
        <w:rPr>
          <w:rFonts w:ascii="Times New Roman" w:hAnsi="Times New Roman" w:cs="Times New Roman"/>
          <w:sz w:val="28"/>
          <w:szCs w:val="28"/>
          <w:lang w:val="es-MX"/>
        </w:rPr>
        <w:lastRenderedPageBreak/>
        <w:t>adiciones, limitaciones u otras modificaciones se considerará como rechazo de la oferta y constituirá una contraoferta. El numeral 2) matiza y diferencia entre elementos de la aceptación que no alteren sustancialmente la oferta y aquéllos que si la alteren. En el primer caso existe una aceptación  de la oferta a menos que el proponente objete prontamente la discrepancia, pues, si no muestra disconformidad el contrato se perfecciona con las adiciones del aceptante.</w:t>
      </w:r>
      <w:r w:rsidR="006B17D3" w:rsidRPr="00E33A7C">
        <w:rPr>
          <w:rFonts w:ascii="Times New Roman" w:hAnsi="Times New Roman" w:cs="Times New Roman"/>
          <w:sz w:val="28"/>
          <w:szCs w:val="28"/>
          <w:lang w:val="es-MX"/>
        </w:rPr>
        <w:t xml:space="preserve"> El numeral 3) afronta  un punto decisorio, cual es, definir qué se ha de entender por elementos que alteran sustancialmente la oferta. Al efecto tiene por tales el precio, el pago, la calidad y </w:t>
      </w:r>
      <w:r w:rsidR="00A229A6">
        <w:rPr>
          <w:rFonts w:ascii="Times New Roman" w:hAnsi="Times New Roman" w:cs="Times New Roman"/>
          <w:sz w:val="28"/>
          <w:szCs w:val="28"/>
          <w:lang w:val="es-MX"/>
        </w:rPr>
        <w:t>la cantidad de las mercaderías,</w:t>
      </w:r>
      <w:r w:rsidR="006B17D3" w:rsidRPr="00E33A7C">
        <w:rPr>
          <w:rFonts w:ascii="Times New Roman" w:hAnsi="Times New Roman" w:cs="Times New Roman"/>
          <w:sz w:val="28"/>
          <w:szCs w:val="28"/>
          <w:lang w:val="es-MX"/>
        </w:rPr>
        <w:t xml:space="preserve"> el lugar y fecha de la entrega, el grado de responsabilidad o la solución de controversias.</w:t>
      </w:r>
    </w:p>
    <w:p w:rsidR="006B17D3" w:rsidRPr="00E33A7C" w:rsidRDefault="006B17D3" w:rsidP="00687E2E">
      <w:pPr>
        <w:spacing w:line="360" w:lineRule="auto"/>
        <w:ind w:left="357"/>
        <w:jc w:val="both"/>
        <w:rPr>
          <w:rFonts w:ascii="Times New Roman" w:hAnsi="Times New Roman" w:cs="Times New Roman"/>
          <w:sz w:val="28"/>
          <w:szCs w:val="28"/>
          <w:lang w:val="es-MX"/>
        </w:rPr>
      </w:pPr>
    </w:p>
    <w:p w:rsidR="00E345D8" w:rsidRPr="00E33A7C" w:rsidRDefault="00472BE4"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Es cierto que la enunciación del numeral 3) indicado  no contiene una </w:t>
      </w:r>
      <w:r w:rsidR="00A229A6">
        <w:rPr>
          <w:rFonts w:ascii="Times New Roman" w:hAnsi="Times New Roman" w:cs="Times New Roman"/>
          <w:sz w:val="28"/>
          <w:szCs w:val="28"/>
          <w:lang w:val="es-MX"/>
        </w:rPr>
        <w:t xml:space="preserve">enumeración </w:t>
      </w:r>
      <w:r w:rsidRPr="00E33A7C">
        <w:rPr>
          <w:rFonts w:ascii="Times New Roman" w:hAnsi="Times New Roman" w:cs="Times New Roman"/>
          <w:sz w:val="28"/>
          <w:szCs w:val="28"/>
          <w:lang w:val="es-MX"/>
        </w:rPr>
        <w:t>exhaustiva de lo que se ha tener como elementos sustanciales. Sobre esta cuestión Adame Goddard manifiesta, que también se puede tener como elementos sustanciales el acuerdo de que toda modificación del contrato ha de obrar por escrito, privándose de valor a las tratativas y negociaciones verbales. Igualmente lo relativo al Derecho que ha de aplicarse al contrato</w:t>
      </w:r>
      <w:r w:rsidRPr="00E33A7C">
        <w:rPr>
          <w:rStyle w:val="FootnoteReference"/>
          <w:rFonts w:ascii="Times New Roman" w:hAnsi="Times New Roman" w:cs="Times New Roman"/>
          <w:sz w:val="28"/>
          <w:szCs w:val="28"/>
          <w:lang w:val="es-MX"/>
        </w:rPr>
        <w:footnoteReference w:id="25"/>
      </w:r>
      <w:r w:rsidRPr="00E33A7C">
        <w:rPr>
          <w:rFonts w:ascii="Times New Roman" w:hAnsi="Times New Roman" w:cs="Times New Roman"/>
          <w:sz w:val="28"/>
          <w:szCs w:val="28"/>
          <w:lang w:val="es-MX"/>
        </w:rPr>
        <w:t>.</w:t>
      </w:r>
    </w:p>
    <w:p w:rsidR="00E345D8" w:rsidRPr="00E33A7C" w:rsidRDefault="00E345D8" w:rsidP="00687E2E">
      <w:pPr>
        <w:spacing w:line="360" w:lineRule="auto"/>
        <w:ind w:left="357"/>
        <w:jc w:val="both"/>
        <w:rPr>
          <w:rFonts w:ascii="Times New Roman" w:hAnsi="Times New Roman" w:cs="Times New Roman"/>
          <w:sz w:val="28"/>
          <w:szCs w:val="28"/>
          <w:lang w:val="es-MX"/>
        </w:rPr>
      </w:pPr>
    </w:p>
    <w:p w:rsidR="0039146F" w:rsidRPr="00E33A7C" w:rsidRDefault="00E2071E"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Aunque el principio es </w:t>
      </w:r>
      <w:r w:rsidR="00E345D8" w:rsidRPr="00E33A7C">
        <w:rPr>
          <w:rFonts w:ascii="Times New Roman" w:hAnsi="Times New Roman" w:cs="Times New Roman"/>
          <w:sz w:val="28"/>
          <w:szCs w:val="28"/>
          <w:lang w:val="es-MX"/>
        </w:rPr>
        <w:t>que la aceptación ha de ser oportuna,  la</w:t>
      </w:r>
      <w:r w:rsidR="00A229A6">
        <w:rPr>
          <w:rFonts w:ascii="Times New Roman" w:hAnsi="Times New Roman" w:cs="Times New Roman"/>
          <w:sz w:val="28"/>
          <w:szCs w:val="28"/>
          <w:lang w:val="es-MX"/>
        </w:rPr>
        <w:t xml:space="preserve"> tardía puede producir efectos, e</w:t>
      </w:r>
      <w:r w:rsidR="00E345D8" w:rsidRPr="00E33A7C">
        <w:rPr>
          <w:rFonts w:ascii="Times New Roman" w:hAnsi="Times New Roman" w:cs="Times New Roman"/>
          <w:sz w:val="28"/>
          <w:szCs w:val="28"/>
          <w:lang w:val="es-MX"/>
        </w:rPr>
        <w:t xml:space="preserve">l artículo 21 </w:t>
      </w:r>
      <w:r w:rsidR="00A10959" w:rsidRPr="00E33A7C">
        <w:rPr>
          <w:rFonts w:ascii="Times New Roman" w:hAnsi="Times New Roman" w:cs="Times New Roman"/>
          <w:sz w:val="28"/>
          <w:szCs w:val="28"/>
          <w:lang w:val="es-MX"/>
        </w:rPr>
        <w:t xml:space="preserve"> 1)</w:t>
      </w:r>
      <w:r w:rsidR="00A229A6">
        <w:rPr>
          <w:rFonts w:ascii="Times New Roman" w:hAnsi="Times New Roman" w:cs="Times New Roman"/>
          <w:sz w:val="28"/>
          <w:szCs w:val="28"/>
          <w:lang w:val="es-MX"/>
        </w:rPr>
        <w:t xml:space="preserve"> </w:t>
      </w:r>
      <w:r w:rsidR="00E345D8" w:rsidRPr="00E33A7C">
        <w:rPr>
          <w:rFonts w:ascii="Times New Roman" w:hAnsi="Times New Roman" w:cs="Times New Roman"/>
          <w:sz w:val="28"/>
          <w:szCs w:val="28"/>
          <w:lang w:val="es-MX"/>
        </w:rPr>
        <w:t xml:space="preserve">de </w:t>
      </w:r>
      <w:smartTag w:uri="urn:schemas-microsoft-com:office:smarttags" w:element="PersonName">
        <w:smartTagPr>
          <w:attr w:name="ProductID" w:val="la CV"/>
        </w:smartTagPr>
        <w:r w:rsidR="00E345D8" w:rsidRPr="00E33A7C">
          <w:rPr>
            <w:rFonts w:ascii="Times New Roman" w:hAnsi="Times New Roman" w:cs="Times New Roman"/>
            <w:sz w:val="28"/>
            <w:szCs w:val="28"/>
            <w:lang w:val="es-MX"/>
          </w:rPr>
          <w:t>la CV</w:t>
        </w:r>
      </w:smartTag>
      <w:r w:rsidR="00E345D8" w:rsidRPr="00E33A7C">
        <w:rPr>
          <w:rFonts w:ascii="Times New Roman" w:hAnsi="Times New Roman" w:cs="Times New Roman"/>
          <w:sz w:val="28"/>
          <w:szCs w:val="28"/>
          <w:lang w:val="es-MX"/>
        </w:rPr>
        <w:t xml:space="preserve">  señala que esta última surtirá efectos</w:t>
      </w:r>
      <w:r w:rsidR="003D02B1" w:rsidRPr="00E33A7C">
        <w:rPr>
          <w:rFonts w:ascii="Times New Roman" w:hAnsi="Times New Roman" w:cs="Times New Roman"/>
          <w:sz w:val="28"/>
          <w:szCs w:val="28"/>
          <w:lang w:val="es-MX"/>
        </w:rPr>
        <w:t xml:space="preserve"> </w:t>
      </w:r>
      <w:r w:rsidR="00E345D8" w:rsidRPr="00E33A7C">
        <w:rPr>
          <w:rFonts w:ascii="Times New Roman" w:hAnsi="Times New Roman" w:cs="Times New Roman"/>
          <w:sz w:val="28"/>
          <w:szCs w:val="28"/>
          <w:lang w:val="es-MX"/>
        </w:rPr>
        <w:t xml:space="preserve"> si el oferente</w:t>
      </w:r>
      <w:r w:rsidRPr="00E33A7C">
        <w:rPr>
          <w:rFonts w:ascii="Times New Roman" w:hAnsi="Times New Roman" w:cs="Times New Roman"/>
          <w:sz w:val="28"/>
          <w:szCs w:val="28"/>
          <w:lang w:val="es-MX"/>
        </w:rPr>
        <w:t>, sin demora,</w:t>
      </w:r>
      <w:r w:rsidR="00E345D8" w:rsidRPr="00E33A7C">
        <w:rPr>
          <w:rFonts w:ascii="Times New Roman" w:hAnsi="Times New Roman" w:cs="Times New Roman"/>
          <w:sz w:val="28"/>
          <w:szCs w:val="28"/>
          <w:lang w:val="es-MX"/>
        </w:rPr>
        <w:t xml:space="preserve"> informa de ello </w:t>
      </w:r>
      <w:r w:rsidRPr="00E33A7C">
        <w:rPr>
          <w:rFonts w:ascii="Times New Roman" w:hAnsi="Times New Roman" w:cs="Times New Roman"/>
          <w:sz w:val="28"/>
          <w:szCs w:val="28"/>
          <w:lang w:val="es-MX"/>
        </w:rPr>
        <w:t>a</w:t>
      </w:r>
      <w:r w:rsidR="00E345D8" w:rsidRPr="00E33A7C">
        <w:rPr>
          <w:rFonts w:ascii="Times New Roman" w:hAnsi="Times New Roman" w:cs="Times New Roman"/>
          <w:sz w:val="28"/>
          <w:szCs w:val="28"/>
          <w:lang w:val="es-MX"/>
        </w:rPr>
        <w:t>l destinatario o le envía una comunicación en tal sentido.</w:t>
      </w:r>
      <w:r w:rsidRPr="00E33A7C">
        <w:rPr>
          <w:rFonts w:ascii="Times New Roman" w:hAnsi="Times New Roman" w:cs="Times New Roman"/>
          <w:sz w:val="28"/>
          <w:szCs w:val="28"/>
          <w:lang w:val="es-MX"/>
        </w:rPr>
        <w:t xml:space="preserve"> Esta norma  comporte un tratamiento beneficios</w:t>
      </w:r>
      <w:r w:rsidR="00A10959" w:rsidRPr="00E33A7C">
        <w:rPr>
          <w:rFonts w:ascii="Times New Roman" w:hAnsi="Times New Roman" w:cs="Times New Roman"/>
          <w:sz w:val="28"/>
          <w:szCs w:val="28"/>
          <w:lang w:val="es-MX"/>
        </w:rPr>
        <w:t xml:space="preserve"> </w:t>
      </w:r>
      <w:r w:rsidRPr="00E33A7C">
        <w:rPr>
          <w:rFonts w:ascii="Times New Roman" w:hAnsi="Times New Roman" w:cs="Times New Roman"/>
          <w:sz w:val="28"/>
          <w:szCs w:val="28"/>
          <w:lang w:val="es-MX"/>
        </w:rPr>
        <w:t xml:space="preserve">o para el aceptante. Sin embargo, se podría subrayar que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no especifica qué se ha de entender sin demora y ello puede dar lugar a que el aceptante</w:t>
      </w:r>
      <w:r w:rsidR="00A10959" w:rsidRPr="00E33A7C">
        <w:rPr>
          <w:rFonts w:ascii="Times New Roman" w:hAnsi="Times New Roman" w:cs="Times New Roman"/>
          <w:sz w:val="28"/>
          <w:szCs w:val="28"/>
          <w:lang w:val="es-MX"/>
        </w:rPr>
        <w:t xml:space="preserve">, en un  momento </w:t>
      </w:r>
      <w:r w:rsidR="00A10959" w:rsidRPr="00E33A7C">
        <w:rPr>
          <w:rFonts w:ascii="Times New Roman" w:hAnsi="Times New Roman" w:cs="Times New Roman"/>
          <w:sz w:val="28"/>
          <w:szCs w:val="28"/>
          <w:lang w:val="es-MX"/>
        </w:rPr>
        <w:lastRenderedPageBreak/>
        <w:t xml:space="preserve">determinado, impensado para él, reciba la aceptación, cuando  ya haya resuelto emprender en otros negocios. El resultado final de todo ello sería que no se llegaría a concluir la operación. En suma, quedaría en el criterio del aceptante, considerar si se explicitado por el oferente, sin demora, el asentimiento de su aceptación tardía. El numeral 2) atiene a circunstancias en las cuales la aceptación tardía habría podido considerarse tempestiva. Su texto no se encuentra exento de complejidad. Dice: </w:t>
      </w:r>
      <w:r w:rsidR="00CA3661" w:rsidRPr="00E33A7C">
        <w:rPr>
          <w:rFonts w:ascii="Times New Roman" w:hAnsi="Times New Roman" w:cs="Times New Roman"/>
          <w:i/>
          <w:sz w:val="28"/>
          <w:szCs w:val="28"/>
          <w:lang w:val="es-MX"/>
        </w:rPr>
        <w:t>Si la carta u otra comunicación por escrito que contenga una aceptación tardía indica que ha sido enviada en circunstancias tales  que si su transmisión hubiera sido normal habría llegado al oferente en el plazo debido, la aceptación tardía surtirá efecto como aceptación a menos que sin demora, el oferente informe verbalmente al destinatario de que su oferta ha sido caducada o le envía una comunicación en tal sentido</w:t>
      </w:r>
      <w:r w:rsidR="00CA3661" w:rsidRPr="00E33A7C">
        <w:rPr>
          <w:rFonts w:ascii="Times New Roman" w:hAnsi="Times New Roman" w:cs="Times New Roman"/>
          <w:sz w:val="28"/>
          <w:szCs w:val="28"/>
          <w:lang w:val="es-MX"/>
        </w:rPr>
        <w:t>. En el futurible descrito lo sustancial es que, salvo expresión en contrario por el oferente, la aceptación tardía su</w:t>
      </w:r>
      <w:r w:rsidR="00A229A6">
        <w:rPr>
          <w:rFonts w:ascii="Times New Roman" w:hAnsi="Times New Roman" w:cs="Times New Roman"/>
          <w:sz w:val="28"/>
          <w:szCs w:val="28"/>
          <w:lang w:val="es-MX"/>
        </w:rPr>
        <w:t>r</w:t>
      </w:r>
      <w:r w:rsidR="00CA3661" w:rsidRPr="00E33A7C">
        <w:rPr>
          <w:rFonts w:ascii="Times New Roman" w:hAnsi="Times New Roman" w:cs="Times New Roman"/>
          <w:sz w:val="28"/>
          <w:szCs w:val="28"/>
          <w:lang w:val="es-MX"/>
        </w:rPr>
        <w:t>te efecto. En tal caso tampoco de señala el alcance la expresión sin demora. Es o</w:t>
      </w:r>
      <w:r w:rsidR="00A229A6">
        <w:rPr>
          <w:rFonts w:ascii="Times New Roman" w:hAnsi="Times New Roman" w:cs="Times New Roman"/>
          <w:sz w:val="28"/>
          <w:szCs w:val="28"/>
          <w:lang w:val="es-MX"/>
        </w:rPr>
        <w:t>t</w:t>
      </w:r>
      <w:r w:rsidR="00CA3661" w:rsidRPr="00E33A7C">
        <w:rPr>
          <w:rFonts w:ascii="Times New Roman" w:hAnsi="Times New Roman" w:cs="Times New Roman"/>
          <w:sz w:val="28"/>
          <w:szCs w:val="28"/>
          <w:lang w:val="es-MX"/>
        </w:rPr>
        <w:t>ro caso en el cual el silencio produce efectos jurídicos.</w:t>
      </w:r>
    </w:p>
    <w:p w:rsidR="0039146F" w:rsidRPr="00E33A7C" w:rsidRDefault="0039146F" w:rsidP="00687E2E">
      <w:pPr>
        <w:spacing w:line="360" w:lineRule="auto"/>
        <w:ind w:left="357"/>
        <w:jc w:val="both"/>
        <w:rPr>
          <w:rFonts w:ascii="Times New Roman" w:hAnsi="Times New Roman" w:cs="Times New Roman"/>
          <w:sz w:val="28"/>
          <w:szCs w:val="28"/>
          <w:lang w:val="es-MX"/>
        </w:rPr>
      </w:pPr>
    </w:p>
    <w:p w:rsidR="00F7734B" w:rsidRPr="00E33A7C" w:rsidRDefault="0039146F"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23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006F56E9" w:rsidRPr="00E33A7C">
        <w:rPr>
          <w:rFonts w:ascii="Times New Roman" w:hAnsi="Times New Roman" w:cs="Times New Roman"/>
          <w:sz w:val="28"/>
          <w:szCs w:val="28"/>
          <w:lang w:val="es-MX"/>
        </w:rPr>
        <w:t xml:space="preserve"> expresa llanamente que el contrato se perfecciona en el momento de surtir efecto la aceptación de la oferta. Honnold acota que más importante que precisar el momento de la perfección del contrato es señalar las condiciones existentes al momento de su perfeccionamiento. Así el artículo 42 1) respecto de la </w:t>
      </w:r>
      <w:r w:rsidR="00135487" w:rsidRPr="00E33A7C">
        <w:rPr>
          <w:rFonts w:ascii="Times New Roman" w:hAnsi="Times New Roman" w:cs="Times New Roman"/>
          <w:sz w:val="28"/>
          <w:szCs w:val="28"/>
          <w:lang w:val="es-MX"/>
        </w:rPr>
        <w:t>entrega</w:t>
      </w:r>
      <w:r w:rsidR="006F56E9" w:rsidRPr="00E33A7C">
        <w:rPr>
          <w:rFonts w:ascii="Times New Roman" w:hAnsi="Times New Roman" w:cs="Times New Roman"/>
          <w:sz w:val="28"/>
          <w:szCs w:val="28"/>
          <w:lang w:val="es-MX"/>
        </w:rPr>
        <w:t xml:space="preserve"> de</w:t>
      </w:r>
      <w:r w:rsidR="00135487" w:rsidRPr="00E33A7C">
        <w:rPr>
          <w:rFonts w:ascii="Times New Roman" w:hAnsi="Times New Roman" w:cs="Times New Roman"/>
          <w:sz w:val="28"/>
          <w:szCs w:val="28"/>
          <w:lang w:val="es-MX"/>
        </w:rPr>
        <w:t xml:space="preserve"> las </w:t>
      </w:r>
      <w:r w:rsidR="006F56E9" w:rsidRPr="00E33A7C">
        <w:rPr>
          <w:rFonts w:ascii="Times New Roman" w:hAnsi="Times New Roman" w:cs="Times New Roman"/>
          <w:sz w:val="28"/>
          <w:szCs w:val="28"/>
          <w:lang w:val="es-MX"/>
        </w:rPr>
        <w:t xml:space="preserve"> mercaderías</w:t>
      </w:r>
      <w:r w:rsidR="00135487" w:rsidRPr="00E33A7C">
        <w:rPr>
          <w:rFonts w:ascii="Times New Roman" w:hAnsi="Times New Roman" w:cs="Times New Roman"/>
          <w:sz w:val="28"/>
          <w:szCs w:val="28"/>
          <w:lang w:val="es-MX"/>
        </w:rPr>
        <w:t xml:space="preserve">; el 55 respecto del precio; el 68 respecto del riesgo; el 74 sobre indemnización de daños y perjuicios; el 79 1) respecto de la exoneración de responsabilidad. Sobre el momento de la perfección alude al artículo 68 que prevé que el riesgo de las mercaderías en tránsito se transmitirá al comprador el momento de la celebración del </w:t>
      </w:r>
      <w:r w:rsidR="00135487" w:rsidRPr="00E33A7C">
        <w:rPr>
          <w:rFonts w:ascii="Times New Roman" w:hAnsi="Times New Roman" w:cs="Times New Roman"/>
          <w:sz w:val="28"/>
          <w:szCs w:val="28"/>
          <w:lang w:val="es-MX"/>
        </w:rPr>
        <w:lastRenderedPageBreak/>
        <w:t>contrato</w:t>
      </w:r>
      <w:r w:rsidR="000050D5" w:rsidRPr="00E33A7C">
        <w:rPr>
          <w:rStyle w:val="FootnoteReference"/>
          <w:rFonts w:ascii="Times New Roman" w:hAnsi="Times New Roman" w:cs="Times New Roman"/>
          <w:sz w:val="28"/>
          <w:szCs w:val="28"/>
          <w:lang w:val="es-MX"/>
        </w:rPr>
        <w:footnoteReference w:id="26"/>
      </w:r>
      <w:r w:rsidR="000050D5" w:rsidRPr="00E33A7C">
        <w:rPr>
          <w:rFonts w:ascii="Times New Roman" w:hAnsi="Times New Roman" w:cs="Times New Roman"/>
          <w:sz w:val="28"/>
          <w:szCs w:val="28"/>
          <w:lang w:val="es-MX"/>
        </w:rPr>
        <w:t xml:space="preserve">. La aceptación surte efecto cuando llega al destinatario proponente u oferente. </w:t>
      </w:r>
      <w:smartTag w:uri="urn:schemas-microsoft-com:office:smarttags" w:element="PersonName">
        <w:smartTagPr>
          <w:attr w:name="ProductID" w:val="la CV"/>
        </w:smartTagPr>
        <w:r w:rsidR="000050D5" w:rsidRPr="00E33A7C">
          <w:rPr>
            <w:rFonts w:ascii="Times New Roman" w:hAnsi="Times New Roman" w:cs="Times New Roman"/>
            <w:sz w:val="28"/>
            <w:szCs w:val="28"/>
            <w:lang w:val="es-MX"/>
          </w:rPr>
          <w:t>La CV</w:t>
        </w:r>
      </w:smartTag>
      <w:r w:rsidR="000050D5" w:rsidRPr="00E33A7C">
        <w:rPr>
          <w:rFonts w:ascii="Times New Roman" w:hAnsi="Times New Roman" w:cs="Times New Roman"/>
          <w:sz w:val="28"/>
          <w:szCs w:val="28"/>
          <w:lang w:val="es-MX"/>
        </w:rPr>
        <w:t xml:space="preserve"> ha optad</w:t>
      </w:r>
      <w:r w:rsidR="00BF110D" w:rsidRPr="00E33A7C">
        <w:rPr>
          <w:rFonts w:ascii="Times New Roman" w:hAnsi="Times New Roman" w:cs="Times New Roman"/>
          <w:sz w:val="28"/>
          <w:szCs w:val="28"/>
          <w:lang w:val="es-MX"/>
        </w:rPr>
        <w:t>o el criterio de la teoría de la recepción de la aceptación, antes que la de la emisión</w:t>
      </w:r>
      <w:r w:rsidR="00A229A6">
        <w:rPr>
          <w:rFonts w:ascii="Times New Roman" w:hAnsi="Times New Roman" w:cs="Times New Roman"/>
          <w:sz w:val="28"/>
          <w:szCs w:val="28"/>
          <w:lang w:val="es-MX"/>
        </w:rPr>
        <w:t>,</w:t>
      </w:r>
      <w:r w:rsidR="00BF110D" w:rsidRPr="00E33A7C">
        <w:rPr>
          <w:rFonts w:ascii="Times New Roman" w:hAnsi="Times New Roman" w:cs="Times New Roman"/>
          <w:sz w:val="28"/>
          <w:szCs w:val="28"/>
          <w:lang w:val="es-MX"/>
        </w:rPr>
        <w:t xml:space="preserve"> propia del </w:t>
      </w:r>
      <w:r w:rsidR="00BF110D" w:rsidRPr="00E33A7C">
        <w:rPr>
          <w:rFonts w:ascii="Times New Roman" w:hAnsi="Times New Roman" w:cs="Times New Roman"/>
          <w:i/>
          <w:sz w:val="28"/>
          <w:szCs w:val="28"/>
          <w:lang w:val="es-MX"/>
        </w:rPr>
        <w:t>common law</w:t>
      </w:r>
      <w:r w:rsidR="00BF110D" w:rsidRPr="00E33A7C">
        <w:rPr>
          <w:rFonts w:ascii="Times New Roman" w:hAnsi="Times New Roman" w:cs="Times New Roman"/>
          <w:sz w:val="28"/>
          <w:szCs w:val="28"/>
          <w:lang w:val="es-MX"/>
        </w:rPr>
        <w:t>. Existe la excepción del artículo 18 3 antes referida. De la mano del perfeccionamiento del contrato van los aspectos formales y la prueba referidos e</w:t>
      </w:r>
      <w:r w:rsidR="00A229A6">
        <w:rPr>
          <w:rFonts w:ascii="Times New Roman" w:hAnsi="Times New Roman" w:cs="Times New Roman"/>
          <w:sz w:val="28"/>
          <w:szCs w:val="28"/>
          <w:lang w:val="es-MX"/>
        </w:rPr>
        <w:t>n los artículos 11 y  13.</w:t>
      </w:r>
    </w:p>
    <w:p w:rsidR="00731A28" w:rsidRPr="00E33A7C" w:rsidRDefault="00731A28" w:rsidP="00687E2E">
      <w:pPr>
        <w:spacing w:line="360" w:lineRule="auto"/>
        <w:ind w:left="357"/>
        <w:jc w:val="both"/>
        <w:rPr>
          <w:rFonts w:ascii="Times New Roman" w:hAnsi="Times New Roman" w:cs="Times New Roman"/>
          <w:sz w:val="28"/>
          <w:szCs w:val="28"/>
          <w:lang w:val="es-MX"/>
        </w:rPr>
      </w:pPr>
    </w:p>
    <w:p w:rsidR="00D17D58" w:rsidRPr="00E33A7C" w:rsidRDefault="00731A28" w:rsidP="00687E2E">
      <w:pPr>
        <w:spacing w:line="360" w:lineRule="auto"/>
        <w:ind w:left="357"/>
        <w:jc w:val="both"/>
        <w:rPr>
          <w:rFonts w:ascii="Times New Roman" w:hAnsi="Times New Roman" w:cs="Times New Roman"/>
          <w:sz w:val="28"/>
          <w:szCs w:val="28"/>
          <w:lang w:val="es-MX"/>
        </w:rPr>
      </w:p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no se pronuncia sobe el lugar  en que se entiende celebrado el contrato entre ausentes</w:t>
      </w:r>
      <w:r w:rsidR="00F133CB"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tema de importancia  porque incide preponderantemente  en </w:t>
      </w:r>
      <w:r w:rsidR="00F133CB" w:rsidRPr="00E33A7C">
        <w:rPr>
          <w:rFonts w:ascii="Times New Roman" w:hAnsi="Times New Roman" w:cs="Times New Roman"/>
          <w:sz w:val="28"/>
          <w:szCs w:val="28"/>
          <w:lang w:val="es-MX"/>
        </w:rPr>
        <w:t xml:space="preserve">el discernimiento </w:t>
      </w:r>
      <w:r w:rsidRPr="00E33A7C">
        <w:rPr>
          <w:rFonts w:ascii="Times New Roman" w:hAnsi="Times New Roman" w:cs="Times New Roman"/>
          <w:sz w:val="28"/>
          <w:szCs w:val="28"/>
          <w:lang w:val="es-MX"/>
        </w:rPr>
        <w:t xml:space="preserve">del Derecho aplicable. A esos extremos se refiere </w:t>
      </w:r>
      <w:r w:rsidR="00F133CB" w:rsidRPr="00E33A7C">
        <w:rPr>
          <w:rFonts w:ascii="Times New Roman" w:hAnsi="Times New Roman" w:cs="Times New Roman"/>
          <w:sz w:val="28"/>
          <w:szCs w:val="28"/>
          <w:lang w:val="es-MX"/>
        </w:rPr>
        <w:t>Medina de Lemus quién sustenta que normalmente ese lugar es  el de la llegada  de la aceptación al oferente</w:t>
      </w:r>
      <w:r w:rsidR="00F133CB" w:rsidRPr="00E33A7C">
        <w:rPr>
          <w:rStyle w:val="FootnoteReference"/>
          <w:rFonts w:ascii="Times New Roman" w:hAnsi="Times New Roman" w:cs="Times New Roman"/>
          <w:sz w:val="28"/>
          <w:szCs w:val="28"/>
          <w:lang w:val="es-MX"/>
        </w:rPr>
        <w:footnoteReference w:id="27"/>
      </w:r>
      <w:r w:rsidR="00D17D58" w:rsidRPr="00E33A7C">
        <w:rPr>
          <w:rFonts w:ascii="Times New Roman" w:hAnsi="Times New Roman" w:cs="Times New Roman"/>
          <w:sz w:val="28"/>
          <w:szCs w:val="28"/>
          <w:lang w:val="es-MX"/>
        </w:rPr>
        <w:t>.</w:t>
      </w:r>
    </w:p>
    <w:p w:rsidR="00D17D58" w:rsidRPr="00E33A7C" w:rsidRDefault="00D17D58" w:rsidP="00687E2E">
      <w:pPr>
        <w:spacing w:line="360" w:lineRule="auto"/>
        <w:ind w:left="357"/>
        <w:jc w:val="both"/>
        <w:rPr>
          <w:rFonts w:ascii="Times New Roman" w:hAnsi="Times New Roman" w:cs="Times New Roman"/>
          <w:sz w:val="28"/>
          <w:szCs w:val="28"/>
          <w:lang w:val="es-MX"/>
        </w:rPr>
      </w:pPr>
    </w:p>
    <w:p w:rsidR="00633A6C" w:rsidRPr="00E33A7C" w:rsidRDefault="00D17D58"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6. El artículo 29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establece normas sob</w:t>
      </w:r>
      <w:r w:rsidR="00BE3F42" w:rsidRPr="00E33A7C">
        <w:rPr>
          <w:rFonts w:ascii="Times New Roman" w:hAnsi="Times New Roman" w:cs="Times New Roman"/>
          <w:sz w:val="28"/>
          <w:szCs w:val="28"/>
          <w:lang w:val="es-MX"/>
        </w:rPr>
        <w:t>r</w:t>
      </w:r>
      <w:r w:rsidRPr="00E33A7C">
        <w:rPr>
          <w:rFonts w:ascii="Times New Roman" w:hAnsi="Times New Roman" w:cs="Times New Roman"/>
          <w:sz w:val="28"/>
          <w:szCs w:val="28"/>
          <w:lang w:val="es-MX"/>
        </w:rPr>
        <w:t>e la modificación y resciliación del contrato</w:t>
      </w:r>
      <w:r w:rsidR="00BE3F42" w:rsidRPr="00E33A7C">
        <w:rPr>
          <w:rFonts w:ascii="Times New Roman" w:hAnsi="Times New Roman" w:cs="Times New Roman"/>
          <w:sz w:val="28"/>
          <w:szCs w:val="28"/>
          <w:lang w:val="es-MX"/>
        </w:rPr>
        <w:t>.</w:t>
      </w:r>
      <w:r w:rsidR="002D0507" w:rsidRPr="00E33A7C">
        <w:rPr>
          <w:rFonts w:ascii="Times New Roman" w:hAnsi="Times New Roman" w:cs="Times New Roman"/>
          <w:sz w:val="28"/>
          <w:szCs w:val="28"/>
          <w:lang w:val="es-MX"/>
        </w:rPr>
        <w:t xml:space="preserve"> Es posible por el mero acuerdo de las partes. Debe hacérselo por escrito si así se ha convenido. Los actos de una parte le vinculan y explican las actuaciones de la otra parte. Se entiende por resciliación el acuerdo de las partes para dejar sin efecto el contrato. Honnold trae un ejemplo </w:t>
      </w:r>
      <w:r w:rsidR="00633A6C" w:rsidRPr="00E33A7C">
        <w:rPr>
          <w:rFonts w:ascii="Times New Roman" w:hAnsi="Times New Roman" w:cs="Times New Roman"/>
          <w:sz w:val="28"/>
          <w:szCs w:val="28"/>
          <w:lang w:val="es-MX"/>
        </w:rPr>
        <w:t>práctico:</w:t>
      </w:r>
    </w:p>
    <w:p w:rsidR="00633A6C" w:rsidRPr="00E33A7C" w:rsidRDefault="00633A6C" w:rsidP="00687E2E">
      <w:pPr>
        <w:spacing w:line="360" w:lineRule="auto"/>
        <w:ind w:left="357"/>
        <w:jc w:val="both"/>
        <w:rPr>
          <w:rFonts w:ascii="Times New Roman" w:hAnsi="Times New Roman" w:cs="Times New Roman"/>
          <w:sz w:val="28"/>
          <w:szCs w:val="28"/>
          <w:lang w:val="es-MX"/>
        </w:rPr>
      </w:pPr>
    </w:p>
    <w:p w:rsidR="00633A6C" w:rsidRPr="00E33A7C" w:rsidRDefault="00633A6C" w:rsidP="00687E2E">
      <w:pPr>
        <w:spacing w:line="360" w:lineRule="auto"/>
        <w:ind w:left="357"/>
        <w:jc w:val="both"/>
        <w:rPr>
          <w:rFonts w:ascii="Times New Roman" w:hAnsi="Times New Roman" w:cs="Times New Roman"/>
          <w:sz w:val="28"/>
          <w:szCs w:val="28"/>
          <w:lang w:val="es-MX"/>
        </w:rPr>
      </w:pPr>
      <w:r w:rsidRPr="00A229A6">
        <w:rPr>
          <w:rFonts w:ascii="Times New Roman" w:hAnsi="Times New Roman" w:cs="Times New Roman"/>
          <w:sz w:val="20"/>
          <w:szCs w:val="20"/>
          <w:lang w:val="es-MX"/>
        </w:rPr>
        <w:t>Un contrato por escrito exigía al vendedor la fabricación de 10.000 unidades de un producto de acuerdo con las especificaciones que le proporcionó el comprador y fijadas en el contrato. El contrato establecía: “Este contrato únicamente puede ser modificado por un escrito firmado por las partes”,  Antes de que el vendedor comenzara la producción, las partes acordaron por teléfono un cambio en las especificaciones. El vendedor produjo 2.000 unidades de acuerdo con las nuevas especificaciones; el comprador se negó a aceptar esas unidades basándose en que no cumplían las especificaciones del contrato escrito</w:t>
      </w:r>
      <w:r w:rsidRPr="00E33A7C">
        <w:rPr>
          <w:rStyle w:val="FootnoteReference"/>
          <w:rFonts w:ascii="Times New Roman" w:hAnsi="Times New Roman" w:cs="Times New Roman"/>
          <w:sz w:val="28"/>
          <w:szCs w:val="28"/>
          <w:lang w:val="es-MX"/>
        </w:rPr>
        <w:footnoteReference w:id="28"/>
      </w:r>
      <w:r w:rsidRPr="00E33A7C">
        <w:rPr>
          <w:rFonts w:ascii="Times New Roman" w:hAnsi="Times New Roman" w:cs="Times New Roman"/>
          <w:sz w:val="28"/>
          <w:szCs w:val="28"/>
          <w:lang w:val="es-MX"/>
        </w:rPr>
        <w:t>.</w:t>
      </w:r>
    </w:p>
    <w:p w:rsidR="00633A6C" w:rsidRPr="00E33A7C" w:rsidRDefault="00633A6C" w:rsidP="00687E2E">
      <w:pPr>
        <w:spacing w:line="360" w:lineRule="auto"/>
        <w:ind w:left="357"/>
        <w:jc w:val="both"/>
        <w:rPr>
          <w:rFonts w:ascii="Times New Roman" w:hAnsi="Times New Roman" w:cs="Times New Roman"/>
          <w:sz w:val="28"/>
          <w:szCs w:val="28"/>
          <w:lang w:val="es-MX"/>
        </w:rPr>
      </w:pPr>
    </w:p>
    <w:p w:rsidR="00633A6C" w:rsidRPr="00E33A7C" w:rsidRDefault="00982A18"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lastRenderedPageBreak/>
        <w:t>Otro caso lo trae Esplugues Mota</w:t>
      </w:r>
      <w:r w:rsidR="00421556"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del cual se infiere que el cambio de precio ha de ser expresamente concertado. Dice:</w:t>
      </w:r>
    </w:p>
    <w:p w:rsidR="00421556" w:rsidRPr="00E33A7C" w:rsidRDefault="00421556" w:rsidP="00687E2E">
      <w:pPr>
        <w:spacing w:line="360" w:lineRule="auto"/>
        <w:ind w:left="357"/>
        <w:jc w:val="both"/>
        <w:rPr>
          <w:rFonts w:ascii="Times New Roman" w:hAnsi="Times New Roman" w:cs="Times New Roman"/>
          <w:sz w:val="28"/>
          <w:szCs w:val="28"/>
          <w:lang w:val="es-MX"/>
        </w:rPr>
      </w:pPr>
    </w:p>
    <w:p w:rsidR="00421556" w:rsidRPr="00E33A7C" w:rsidRDefault="00421556"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Es perfectamente factible al amparo del artículo 29 de </w:t>
      </w:r>
      <w:smartTag w:uri="urn:schemas-microsoft-com:office:smarttags" w:element="PersonName">
        <w:smartTagPr>
          <w:attr w:name="ProductID" w:val="La Convenci￳n"/>
        </w:smartTagPr>
        <w:r w:rsidRPr="00E33A7C">
          <w:rPr>
            <w:rFonts w:ascii="Times New Roman" w:hAnsi="Times New Roman" w:cs="Times New Roman"/>
            <w:sz w:val="28"/>
            <w:szCs w:val="28"/>
            <w:lang w:val="es-MX"/>
          </w:rPr>
          <w:t>la Convención</w:t>
        </w:r>
      </w:smartTag>
      <w:r w:rsidRPr="00E33A7C">
        <w:rPr>
          <w:rFonts w:ascii="Times New Roman" w:hAnsi="Times New Roman" w:cs="Times New Roman"/>
          <w:sz w:val="28"/>
          <w:szCs w:val="28"/>
          <w:lang w:val="es-MX"/>
        </w:rPr>
        <w:t xml:space="preserve"> de Viena, siempre que exista un acuerdo al respecto de las partes, no pudiendo resu</w:t>
      </w:r>
      <w:r w:rsidR="00A229A6">
        <w:rPr>
          <w:rFonts w:ascii="Times New Roman" w:hAnsi="Times New Roman" w:cs="Times New Roman"/>
          <w:sz w:val="28"/>
          <w:szCs w:val="28"/>
          <w:lang w:val="es-MX"/>
        </w:rPr>
        <w:t>ltar, como ocurre en este caso</w:t>
      </w:r>
      <w:r w:rsidRPr="00E33A7C">
        <w:rPr>
          <w:rFonts w:ascii="Times New Roman" w:hAnsi="Times New Roman" w:cs="Times New Roman"/>
          <w:sz w:val="28"/>
          <w:szCs w:val="28"/>
          <w:lang w:val="es-MX"/>
        </w:rPr>
        <w:t xml:space="preserve"> del ambiente general de una reunión. (CNUDMI Caso 153)</w:t>
      </w:r>
      <w:r w:rsidRPr="00E33A7C">
        <w:rPr>
          <w:rStyle w:val="FootnoteReference"/>
          <w:rFonts w:ascii="Times New Roman" w:hAnsi="Times New Roman" w:cs="Times New Roman"/>
          <w:sz w:val="28"/>
          <w:szCs w:val="28"/>
          <w:lang w:val="es-MX"/>
        </w:rPr>
        <w:footnoteReference w:id="29"/>
      </w:r>
      <w:r w:rsidRPr="00E33A7C">
        <w:rPr>
          <w:rFonts w:ascii="Times New Roman" w:hAnsi="Times New Roman" w:cs="Times New Roman"/>
          <w:sz w:val="28"/>
          <w:szCs w:val="28"/>
          <w:lang w:val="es-MX"/>
        </w:rPr>
        <w:t>.</w:t>
      </w:r>
    </w:p>
    <w:p w:rsidR="000922AC" w:rsidRPr="00E33A7C" w:rsidRDefault="000922AC" w:rsidP="00687E2E">
      <w:pPr>
        <w:spacing w:line="360" w:lineRule="auto"/>
        <w:ind w:left="357"/>
        <w:jc w:val="both"/>
        <w:rPr>
          <w:rFonts w:ascii="Times New Roman" w:hAnsi="Times New Roman" w:cs="Times New Roman"/>
          <w:sz w:val="28"/>
          <w:szCs w:val="28"/>
          <w:lang w:val="es-MX"/>
        </w:rPr>
      </w:pPr>
    </w:p>
    <w:p w:rsidR="000922AC" w:rsidRPr="00E33A7C" w:rsidRDefault="000922AC"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Conceptualmente se ha de distinguir entre la interpretación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y la interpretación de los contratos de compraventa internacional  de mercaderías por ella regidos. De ahí, que sin perjuicio de lo dicho en Ítem 4 es dable profundizar en la interpretación de los contratos.</w:t>
      </w:r>
    </w:p>
    <w:p w:rsidR="00EA4D8E" w:rsidRPr="00E33A7C" w:rsidRDefault="00EA4D8E" w:rsidP="00687E2E">
      <w:pPr>
        <w:spacing w:line="360" w:lineRule="auto"/>
        <w:ind w:left="357"/>
        <w:jc w:val="both"/>
        <w:rPr>
          <w:rFonts w:ascii="Times New Roman" w:hAnsi="Times New Roman" w:cs="Times New Roman"/>
          <w:sz w:val="28"/>
          <w:szCs w:val="28"/>
          <w:lang w:val="es-MX"/>
        </w:rPr>
      </w:pPr>
    </w:p>
    <w:p w:rsidR="00EA4D8E" w:rsidRPr="00E33A7C" w:rsidRDefault="00EA4D8E"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Lo que realmente se procura es interpretar  la voluntad de las partes. El artículo 8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es pertinente al tema.</w:t>
      </w:r>
      <w:r w:rsidR="004A2F34" w:rsidRPr="00E33A7C">
        <w:rPr>
          <w:rFonts w:ascii="Times New Roman" w:hAnsi="Times New Roman" w:cs="Times New Roman"/>
          <w:sz w:val="28"/>
          <w:szCs w:val="28"/>
          <w:lang w:val="es-MX"/>
        </w:rPr>
        <w:t xml:space="preserve"> El numeral 1) señala que las declaraciones y otros actos de una parte deberán interpretarse conforme a su intención cuando la otra parte haya conocido o no haya podido ignorar cual era su intención. El numeral 2) se aplica cuando no es posible aplicar el precepto anterior </w:t>
      </w:r>
      <w:r w:rsidR="003A3AAE" w:rsidRPr="00E33A7C">
        <w:rPr>
          <w:rFonts w:ascii="Times New Roman" w:hAnsi="Times New Roman" w:cs="Times New Roman"/>
          <w:sz w:val="28"/>
          <w:szCs w:val="28"/>
          <w:lang w:val="es-MX"/>
        </w:rPr>
        <w:t xml:space="preserve"> y dice que tales actos y declaraciones se han de </w:t>
      </w:r>
      <w:r w:rsidR="003A3AAE" w:rsidRPr="00E33A7C">
        <w:rPr>
          <w:rFonts w:ascii="Times New Roman" w:hAnsi="Times New Roman" w:cs="Times New Roman"/>
          <w:i/>
          <w:sz w:val="28"/>
          <w:szCs w:val="28"/>
          <w:lang w:val="es-MX"/>
        </w:rPr>
        <w:t>interpretar conforme al sentido que les habría dado en igual situación  una persona razonable de la misma condición que la otra parte</w:t>
      </w:r>
      <w:r w:rsidR="003A3AAE" w:rsidRPr="00E33A7C">
        <w:rPr>
          <w:rFonts w:ascii="Times New Roman" w:hAnsi="Times New Roman" w:cs="Times New Roman"/>
          <w:sz w:val="28"/>
          <w:szCs w:val="28"/>
          <w:lang w:val="es-MX"/>
        </w:rPr>
        <w:t>. El numeral 3) para la debida aplicación de los numerales precedentes dice se acudirá a las circunstancias pertinente a las negociaciones previas al contrato, a las prácticas interpartes, a los usos y al comportamiento ulterior de ellas.</w:t>
      </w:r>
    </w:p>
    <w:p w:rsidR="003A3AAE" w:rsidRPr="00E33A7C" w:rsidRDefault="003A3AAE" w:rsidP="00687E2E">
      <w:pPr>
        <w:spacing w:line="360" w:lineRule="auto"/>
        <w:ind w:left="357"/>
        <w:jc w:val="both"/>
        <w:rPr>
          <w:rFonts w:ascii="Times New Roman" w:hAnsi="Times New Roman" w:cs="Times New Roman"/>
          <w:sz w:val="28"/>
          <w:szCs w:val="28"/>
          <w:lang w:val="es-MX"/>
        </w:rPr>
      </w:pPr>
    </w:p>
    <w:p w:rsidR="003A3AAE" w:rsidRPr="00E33A7C" w:rsidRDefault="00AA2E32"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criterio del  numeral 1) es de índole subjetiva. Se trata de penetrar en la intención  de una parte, mas, tal subjetividad queda matizada cuando </w:t>
      </w:r>
      <w:r w:rsidRPr="00E33A7C">
        <w:rPr>
          <w:rFonts w:ascii="Times New Roman" w:hAnsi="Times New Roman" w:cs="Times New Roman"/>
          <w:sz w:val="28"/>
          <w:szCs w:val="28"/>
          <w:lang w:val="es-MX"/>
        </w:rPr>
        <w:lastRenderedPageBreak/>
        <w:t>se añade que debe ser conocida por la otra parte, o al menos</w:t>
      </w:r>
      <w:r w:rsidR="00A229A6">
        <w:rPr>
          <w:rFonts w:ascii="Times New Roman" w:hAnsi="Times New Roman" w:cs="Times New Roman"/>
          <w:sz w:val="28"/>
          <w:szCs w:val="28"/>
          <w:lang w:val="es-MX"/>
        </w:rPr>
        <w:t>,</w:t>
      </w:r>
      <w:r w:rsidR="00156AB9" w:rsidRPr="00E33A7C">
        <w:rPr>
          <w:rFonts w:ascii="Times New Roman" w:hAnsi="Times New Roman" w:cs="Times New Roman"/>
          <w:sz w:val="28"/>
          <w:szCs w:val="28"/>
          <w:lang w:val="es-MX"/>
        </w:rPr>
        <w:t xml:space="preserve"> que</w:t>
      </w:r>
      <w:r w:rsidRPr="00E33A7C">
        <w:rPr>
          <w:rFonts w:ascii="Times New Roman" w:hAnsi="Times New Roman" w:cs="Times New Roman"/>
          <w:sz w:val="28"/>
          <w:szCs w:val="28"/>
          <w:lang w:val="es-MX"/>
        </w:rPr>
        <w:t xml:space="preserve"> no la haya podido ignorar</w:t>
      </w:r>
      <w:r w:rsidR="00E2722A" w:rsidRPr="00E33A7C">
        <w:rPr>
          <w:rFonts w:ascii="Times New Roman" w:hAnsi="Times New Roman" w:cs="Times New Roman"/>
          <w:sz w:val="28"/>
          <w:szCs w:val="28"/>
          <w:lang w:val="es-MX"/>
        </w:rPr>
        <w:t xml:space="preserve">. Según Honnold, el criterio preponderante es el del  numeral 2) al que califica de objetivo por cuanto se </w:t>
      </w:r>
      <w:r w:rsidR="00156AB9" w:rsidRPr="00E33A7C">
        <w:rPr>
          <w:rFonts w:ascii="Times New Roman" w:hAnsi="Times New Roman" w:cs="Times New Roman"/>
          <w:sz w:val="28"/>
          <w:szCs w:val="28"/>
          <w:lang w:val="es-MX"/>
        </w:rPr>
        <w:t xml:space="preserve">prevé acudir </w:t>
      </w:r>
      <w:r w:rsidR="00E2722A" w:rsidRPr="00E33A7C">
        <w:rPr>
          <w:rFonts w:ascii="Times New Roman" w:hAnsi="Times New Roman" w:cs="Times New Roman"/>
          <w:sz w:val="28"/>
          <w:szCs w:val="28"/>
          <w:lang w:val="es-MX"/>
        </w:rPr>
        <w:t>a lo que</w:t>
      </w:r>
      <w:r w:rsidR="00156AB9" w:rsidRPr="00E33A7C">
        <w:rPr>
          <w:rFonts w:ascii="Times New Roman" w:hAnsi="Times New Roman" w:cs="Times New Roman"/>
          <w:sz w:val="28"/>
          <w:szCs w:val="28"/>
          <w:lang w:val="es-MX"/>
        </w:rPr>
        <w:t xml:space="preserve"> debería entender</w:t>
      </w:r>
      <w:r w:rsidR="00E2722A" w:rsidRPr="00E33A7C">
        <w:rPr>
          <w:rFonts w:ascii="Times New Roman" w:hAnsi="Times New Roman" w:cs="Times New Roman"/>
          <w:sz w:val="28"/>
          <w:szCs w:val="28"/>
          <w:lang w:val="es-MX"/>
        </w:rPr>
        <w:t xml:space="preserve"> una parte razonable la cual obviamente no se encuentra inmersa en el contrato de que se trate. El autor menciona el caso Peerless ocurrido bajo el régimen del common law</w:t>
      </w:r>
      <w:r w:rsidR="001B2F16" w:rsidRPr="00E33A7C">
        <w:rPr>
          <w:rFonts w:ascii="Times New Roman" w:hAnsi="Times New Roman" w:cs="Times New Roman"/>
          <w:sz w:val="28"/>
          <w:szCs w:val="28"/>
          <w:lang w:val="es-MX"/>
        </w:rPr>
        <w:t xml:space="preserve"> que grafica una situación similar a la del numeral 1). En tal caso se suscita desconocimiento</w:t>
      </w:r>
      <w:r w:rsidR="00156AB9" w:rsidRPr="00E33A7C">
        <w:rPr>
          <w:rFonts w:ascii="Times New Roman" w:hAnsi="Times New Roman" w:cs="Times New Roman"/>
          <w:sz w:val="28"/>
          <w:szCs w:val="28"/>
          <w:lang w:val="es-MX"/>
        </w:rPr>
        <w:t xml:space="preserve"> de la fecha de</w:t>
      </w:r>
      <w:r w:rsidR="001B2F16" w:rsidRPr="00E33A7C">
        <w:rPr>
          <w:rFonts w:ascii="Times New Roman" w:hAnsi="Times New Roman" w:cs="Times New Roman"/>
          <w:sz w:val="28"/>
          <w:szCs w:val="28"/>
          <w:lang w:val="es-MX"/>
        </w:rPr>
        <w:t xml:space="preserve"> la llegada de la mercadería de parte de vendedor</w:t>
      </w:r>
      <w:r w:rsidR="00156AB9" w:rsidRPr="00E33A7C">
        <w:rPr>
          <w:rFonts w:ascii="Times New Roman" w:hAnsi="Times New Roman" w:cs="Times New Roman"/>
          <w:sz w:val="28"/>
          <w:szCs w:val="28"/>
          <w:lang w:val="es-MX"/>
        </w:rPr>
        <w:t xml:space="preserve"> y comprador por cuanto en el puerto de embarque existían dos naves con el nombre de Peerless, en razón de lo cual</w:t>
      </w:r>
      <w:r w:rsidR="00E2722A" w:rsidRPr="00E33A7C">
        <w:rPr>
          <w:rFonts w:ascii="Times New Roman" w:hAnsi="Times New Roman" w:cs="Times New Roman"/>
          <w:sz w:val="28"/>
          <w:szCs w:val="28"/>
          <w:lang w:val="es-MX"/>
        </w:rPr>
        <w:t xml:space="preserve"> </w:t>
      </w:r>
      <w:r w:rsidR="00156AB9" w:rsidRPr="00E33A7C">
        <w:rPr>
          <w:rFonts w:ascii="Times New Roman" w:hAnsi="Times New Roman" w:cs="Times New Roman"/>
          <w:sz w:val="28"/>
          <w:szCs w:val="28"/>
          <w:lang w:val="es-MX"/>
        </w:rPr>
        <w:t xml:space="preserve"> el tribunal resolvió que no se había legado a perfeccionar el contrato. Visto ese caso Honnold, formula tres ejemplos  que sirven para comprender mejor el alcance del numeral 1) aludido</w:t>
      </w:r>
      <w:r w:rsidR="00156AB9" w:rsidRPr="00E33A7C">
        <w:rPr>
          <w:rStyle w:val="FootnoteReference"/>
          <w:rFonts w:ascii="Times New Roman" w:hAnsi="Times New Roman" w:cs="Times New Roman"/>
          <w:sz w:val="28"/>
          <w:szCs w:val="28"/>
          <w:lang w:val="es-MX"/>
        </w:rPr>
        <w:footnoteReference w:id="30"/>
      </w:r>
      <w:r w:rsidR="00156AB9" w:rsidRPr="00E33A7C">
        <w:rPr>
          <w:rFonts w:ascii="Times New Roman" w:hAnsi="Times New Roman" w:cs="Times New Roman"/>
          <w:sz w:val="28"/>
          <w:szCs w:val="28"/>
          <w:lang w:val="es-MX"/>
        </w:rPr>
        <w:t>.</w:t>
      </w:r>
      <w:r w:rsidR="00E2722A" w:rsidRPr="00E33A7C">
        <w:rPr>
          <w:rFonts w:ascii="Times New Roman" w:hAnsi="Times New Roman" w:cs="Times New Roman"/>
          <w:sz w:val="28"/>
          <w:szCs w:val="28"/>
          <w:lang w:val="es-MX"/>
        </w:rPr>
        <w:t xml:space="preserve"> </w:t>
      </w:r>
    </w:p>
    <w:p w:rsidR="003A3AAE" w:rsidRPr="00E33A7C" w:rsidRDefault="003A3AAE" w:rsidP="00687E2E">
      <w:pPr>
        <w:spacing w:line="360" w:lineRule="auto"/>
        <w:ind w:left="357"/>
        <w:jc w:val="both"/>
        <w:rPr>
          <w:rFonts w:ascii="Times New Roman" w:hAnsi="Times New Roman" w:cs="Times New Roman"/>
          <w:sz w:val="28"/>
          <w:szCs w:val="28"/>
          <w:lang w:val="es-MX"/>
        </w:rPr>
      </w:pPr>
    </w:p>
    <w:p w:rsidR="00B5336F" w:rsidRPr="00E33A7C" w:rsidRDefault="00B62DEC"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Para la mejor  inteligencia de un contrato, singularmente en caso de duda sobre la verdadera intención de las partes, tienen valor las negociaciones previas según el numeral 3). Entre estas se encuentran los</w:t>
      </w:r>
      <w:r w:rsidR="00F31630" w:rsidRPr="00E33A7C">
        <w:rPr>
          <w:rFonts w:ascii="Times New Roman" w:hAnsi="Times New Roman" w:cs="Times New Roman"/>
          <w:sz w:val="28"/>
          <w:szCs w:val="28"/>
          <w:lang w:val="es-MX"/>
        </w:rPr>
        <w:t xml:space="preserve"> usos particulares observados por los contratantes, los cuales podrían estar sujetos a comprobación, los</w:t>
      </w:r>
      <w:r w:rsidRPr="00E33A7C">
        <w:rPr>
          <w:rFonts w:ascii="Times New Roman" w:hAnsi="Times New Roman" w:cs="Times New Roman"/>
          <w:sz w:val="28"/>
          <w:szCs w:val="28"/>
          <w:lang w:val="es-MX"/>
        </w:rPr>
        <w:t xml:space="preserve"> acuerdos de caballeros,</w:t>
      </w:r>
      <w:r w:rsidR="00F31630" w:rsidRPr="00E33A7C">
        <w:rPr>
          <w:rFonts w:ascii="Times New Roman" w:hAnsi="Times New Roman" w:cs="Times New Roman"/>
          <w:sz w:val="28"/>
          <w:szCs w:val="28"/>
          <w:lang w:val="es-MX"/>
        </w:rPr>
        <w:t xml:space="preserve"> los </w:t>
      </w:r>
      <w:r w:rsidRPr="00E33A7C">
        <w:rPr>
          <w:rFonts w:ascii="Times New Roman" w:hAnsi="Times New Roman" w:cs="Times New Roman"/>
          <w:sz w:val="28"/>
          <w:szCs w:val="28"/>
          <w:lang w:val="es-MX"/>
        </w:rPr>
        <w:t xml:space="preserve"> acuerdos marco, </w:t>
      </w:r>
      <w:r w:rsidR="00F31630" w:rsidRPr="00E33A7C">
        <w:rPr>
          <w:rFonts w:ascii="Times New Roman" w:hAnsi="Times New Roman" w:cs="Times New Roman"/>
          <w:sz w:val="28"/>
          <w:szCs w:val="28"/>
          <w:lang w:val="es-MX"/>
        </w:rPr>
        <w:t xml:space="preserve">las </w:t>
      </w:r>
      <w:r w:rsidRPr="00E33A7C">
        <w:rPr>
          <w:rFonts w:ascii="Times New Roman" w:hAnsi="Times New Roman" w:cs="Times New Roman"/>
          <w:sz w:val="28"/>
          <w:szCs w:val="28"/>
          <w:lang w:val="es-MX"/>
        </w:rPr>
        <w:t xml:space="preserve">cartas de intención, documentos conocidos como </w:t>
      </w:r>
      <w:r w:rsidRPr="00E33A7C">
        <w:rPr>
          <w:rFonts w:ascii="Times New Roman" w:hAnsi="Times New Roman" w:cs="Times New Roman"/>
          <w:i/>
          <w:sz w:val="28"/>
          <w:szCs w:val="28"/>
          <w:lang w:val="es-MX"/>
        </w:rPr>
        <w:t>soft law</w:t>
      </w:r>
      <w:r w:rsidRPr="00E33A7C">
        <w:rPr>
          <w:rFonts w:ascii="Times New Roman" w:hAnsi="Times New Roman" w:cs="Times New Roman"/>
          <w:sz w:val="28"/>
          <w:szCs w:val="28"/>
          <w:lang w:val="es-MX"/>
        </w:rPr>
        <w:t xml:space="preserve">, que sin ostentar la obligatoriedad de las leyes, </w:t>
      </w:r>
      <w:r w:rsidR="00DC0621" w:rsidRPr="00E33A7C">
        <w:rPr>
          <w:rFonts w:ascii="Times New Roman" w:hAnsi="Times New Roman" w:cs="Times New Roman"/>
          <w:sz w:val="28"/>
          <w:szCs w:val="28"/>
          <w:lang w:val="es-MX"/>
        </w:rPr>
        <w:t xml:space="preserve">no por ello  carecen de todo efecto jurídico. Respecto de las cartas de intención, no reguladas por </w:t>
      </w:r>
      <w:smartTag w:uri="urn:schemas-microsoft-com:office:smarttags" w:element="PersonName">
        <w:smartTagPr>
          <w:attr w:name="ProductID" w:val="la CV"/>
        </w:smartTagPr>
        <w:r w:rsidR="00DC0621" w:rsidRPr="00E33A7C">
          <w:rPr>
            <w:rFonts w:ascii="Times New Roman" w:hAnsi="Times New Roman" w:cs="Times New Roman"/>
            <w:sz w:val="28"/>
            <w:szCs w:val="28"/>
            <w:lang w:val="es-MX"/>
          </w:rPr>
          <w:t>la CV</w:t>
        </w:r>
      </w:smartTag>
      <w:r w:rsidR="00DC0621" w:rsidRPr="00E33A7C">
        <w:rPr>
          <w:rFonts w:ascii="Times New Roman" w:hAnsi="Times New Roman" w:cs="Times New Roman"/>
          <w:sz w:val="28"/>
          <w:szCs w:val="28"/>
          <w:lang w:val="es-MX"/>
        </w:rPr>
        <w:t>,  Medina de Lemus distingue cuatro clases: las que deben considerarse contratos definitivos porque contienen todos los elementos esenciales de la compraventa; las que contienen una gradación del contrato en etapas manifestando una intención inicial sin compromiso</w:t>
      </w:r>
      <w:r w:rsidR="00B5336F" w:rsidRPr="00E33A7C">
        <w:rPr>
          <w:rFonts w:ascii="Times New Roman" w:hAnsi="Times New Roman" w:cs="Times New Roman"/>
          <w:sz w:val="28"/>
          <w:szCs w:val="28"/>
          <w:lang w:val="es-MX"/>
        </w:rPr>
        <w:t xml:space="preserve">; las que contienen cláusulas  que exoneran de responsabilidad, o simplemente manifiestan sujeto  a estipulación ulterior; las que </w:t>
      </w:r>
      <w:r w:rsidR="00B5336F" w:rsidRPr="00E33A7C">
        <w:rPr>
          <w:rFonts w:ascii="Times New Roman" w:hAnsi="Times New Roman" w:cs="Times New Roman"/>
          <w:sz w:val="28"/>
          <w:szCs w:val="28"/>
          <w:lang w:val="es-MX"/>
        </w:rPr>
        <w:lastRenderedPageBreak/>
        <w:t>contienen compromisos en firme sobre ciertos aspectos particulares como la exclusividad, plazos de negociación, reembolso del coste de los estudios previos e incluso el costo de la etapa de negociación. Además se refiere a la promesa de celebrar contrato y a los casos en que se pacten condiciones suspensivas o resolutorias</w:t>
      </w:r>
      <w:r w:rsidR="00B5336F" w:rsidRPr="00E33A7C">
        <w:rPr>
          <w:rStyle w:val="FootnoteReference"/>
          <w:rFonts w:ascii="Times New Roman" w:hAnsi="Times New Roman" w:cs="Times New Roman"/>
          <w:sz w:val="28"/>
          <w:szCs w:val="28"/>
          <w:lang w:val="es-MX"/>
        </w:rPr>
        <w:footnoteReference w:id="31"/>
      </w:r>
      <w:r w:rsidR="00B5336F" w:rsidRPr="00E33A7C">
        <w:rPr>
          <w:rFonts w:ascii="Times New Roman" w:hAnsi="Times New Roman" w:cs="Times New Roman"/>
          <w:sz w:val="28"/>
          <w:szCs w:val="28"/>
          <w:lang w:val="es-MX"/>
        </w:rPr>
        <w:t>.</w:t>
      </w:r>
    </w:p>
    <w:p w:rsidR="00B5336F" w:rsidRPr="00E33A7C" w:rsidRDefault="00B5336F" w:rsidP="00687E2E">
      <w:pPr>
        <w:spacing w:line="360" w:lineRule="auto"/>
        <w:ind w:left="357"/>
        <w:jc w:val="both"/>
        <w:rPr>
          <w:rFonts w:ascii="Times New Roman" w:hAnsi="Times New Roman" w:cs="Times New Roman"/>
          <w:sz w:val="28"/>
          <w:szCs w:val="28"/>
          <w:lang w:val="es-MX"/>
        </w:rPr>
      </w:pPr>
    </w:p>
    <w:p w:rsidR="00731A28" w:rsidRPr="00E33A7C" w:rsidRDefault="00F31630"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Visto en su globalidad el artículo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00E92870"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es prudente afirmar que el criterio prevaleciente de interpretación es el subjetivo del numeral 1), pero que el más frecuente  es el moderadamente objetivo del numeral 2), el que contiene un baremo de difícil discernimiento cuando confía la interpretación al sentido de  una </w:t>
      </w:r>
      <w:r w:rsidRPr="00E33A7C">
        <w:rPr>
          <w:rFonts w:ascii="Times New Roman" w:hAnsi="Times New Roman" w:cs="Times New Roman"/>
          <w:i/>
          <w:sz w:val="28"/>
          <w:szCs w:val="28"/>
          <w:lang w:val="es-MX"/>
        </w:rPr>
        <w:t>persona razonable</w:t>
      </w:r>
      <w:r w:rsidRPr="00E33A7C">
        <w:rPr>
          <w:rFonts w:ascii="Times New Roman" w:hAnsi="Times New Roman" w:cs="Times New Roman"/>
          <w:sz w:val="28"/>
          <w:szCs w:val="28"/>
          <w:lang w:val="es-MX"/>
        </w:rPr>
        <w:t xml:space="preserve">. Calvo Caravaca señala que tal criterio es utilizado en otros preceptos de </w:t>
      </w:r>
      <w:smartTag w:uri="urn:schemas-microsoft-com:office:smarttags" w:element="PersonName">
        <w:smartTagPr>
          <w:attr w:name="ProductID" w:val="la CV. As￭"/>
        </w:smartTag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Así</w:t>
        </w:r>
      </w:smartTag>
      <w:r w:rsidRPr="00E33A7C">
        <w:rPr>
          <w:rFonts w:ascii="Times New Roman" w:hAnsi="Times New Roman" w:cs="Times New Roman"/>
          <w:sz w:val="28"/>
          <w:szCs w:val="28"/>
          <w:lang w:val="es-MX"/>
        </w:rPr>
        <w:t xml:space="preserve">  el 18 2) sobre la aceptación de la oferta; </w:t>
      </w:r>
      <w:r w:rsidR="00E92870" w:rsidRPr="00E33A7C">
        <w:rPr>
          <w:rFonts w:ascii="Times New Roman" w:hAnsi="Times New Roman" w:cs="Times New Roman"/>
          <w:sz w:val="28"/>
          <w:szCs w:val="28"/>
          <w:lang w:val="es-MX"/>
        </w:rPr>
        <w:t xml:space="preserve">el 33 c) sobre la entrega de las mercaderías; el 38 1) sobre el examen de las mercaderías; el 39 1) sobre la pérdida del derecho de invocar la inconformidad de las mercaderías; el 43 1) sobre la pérdida del derecho de hacer conocer las pretensiones de terceros sobre las mercaderías; el 47 1) sobre plazo suplementario concedido al vendedor para que cumpla sus obligaciones; el 49 2) a) sobre </w:t>
      </w:r>
      <w:r w:rsidR="00006E61" w:rsidRPr="00E33A7C">
        <w:rPr>
          <w:rFonts w:ascii="Times New Roman" w:hAnsi="Times New Roman" w:cs="Times New Roman"/>
          <w:sz w:val="28"/>
          <w:szCs w:val="28"/>
          <w:lang w:val="es-MX"/>
        </w:rPr>
        <w:t>la pérdida del derecho del comprador a declarar resuelto el contrato si no lo hace en una plazo razonable; el 63 1) sobre el plazo suplementario concedido al comprador para que cumpla sus obligaciones; el 64 2) b) sobre la pérdida del derecho del vendedor que aún habiéndose pagado el precio a declarar resuelto</w:t>
      </w:r>
      <w:r w:rsidR="0086362E" w:rsidRPr="00E33A7C">
        <w:rPr>
          <w:rFonts w:ascii="Times New Roman" w:hAnsi="Times New Roman" w:cs="Times New Roman"/>
          <w:sz w:val="28"/>
          <w:szCs w:val="28"/>
          <w:lang w:val="es-MX"/>
        </w:rPr>
        <w:t xml:space="preserve">  el contrato si no lo hace en </w:t>
      </w:r>
      <w:r w:rsidR="00006E61" w:rsidRPr="00E33A7C">
        <w:rPr>
          <w:rFonts w:ascii="Times New Roman" w:hAnsi="Times New Roman" w:cs="Times New Roman"/>
          <w:sz w:val="28"/>
          <w:szCs w:val="28"/>
          <w:lang w:val="es-MX"/>
        </w:rPr>
        <w:t>un plazo razonab</w:t>
      </w:r>
      <w:r w:rsidR="0086362E" w:rsidRPr="00E33A7C">
        <w:rPr>
          <w:rFonts w:ascii="Times New Roman" w:hAnsi="Times New Roman" w:cs="Times New Roman"/>
          <w:sz w:val="28"/>
          <w:szCs w:val="28"/>
          <w:lang w:val="es-MX"/>
        </w:rPr>
        <w:t>l</w:t>
      </w:r>
      <w:r w:rsidR="00006E61" w:rsidRPr="00E33A7C">
        <w:rPr>
          <w:rFonts w:ascii="Times New Roman" w:hAnsi="Times New Roman" w:cs="Times New Roman"/>
          <w:sz w:val="28"/>
          <w:szCs w:val="28"/>
          <w:lang w:val="es-MX"/>
        </w:rPr>
        <w:t>e;</w:t>
      </w:r>
      <w:r w:rsidR="0086362E" w:rsidRPr="00E33A7C">
        <w:rPr>
          <w:rFonts w:ascii="Times New Roman" w:hAnsi="Times New Roman" w:cs="Times New Roman"/>
          <w:sz w:val="28"/>
          <w:szCs w:val="28"/>
          <w:lang w:val="es-MX"/>
        </w:rPr>
        <w:t xml:space="preserve"> el 65 1) sobre la obligación del comprador de efectuar las especificaciones de las mercaderías; el 72 2) sobre la notificación respecto de la posible resolución del contrato; el 73 2) sobre la resolución del  contrato por entregas;  75 sobre  la operación de reemplazo  y sobre daños y perjuicios. En todos los casos, excepto en el </w:t>
      </w:r>
      <w:r w:rsidR="0086362E" w:rsidRPr="00E33A7C">
        <w:rPr>
          <w:rFonts w:ascii="Times New Roman" w:hAnsi="Times New Roman" w:cs="Times New Roman"/>
          <w:sz w:val="28"/>
          <w:szCs w:val="28"/>
          <w:lang w:val="es-MX"/>
        </w:rPr>
        <w:lastRenderedPageBreak/>
        <w:t>del 8 2) la razonabilidad es criterio con el que han de proceder las partes y no atributo de un tercero</w:t>
      </w:r>
      <w:r w:rsidR="0086362E" w:rsidRPr="00E33A7C">
        <w:rPr>
          <w:rStyle w:val="FootnoteReference"/>
          <w:rFonts w:ascii="Times New Roman" w:hAnsi="Times New Roman" w:cs="Times New Roman"/>
          <w:sz w:val="28"/>
          <w:szCs w:val="28"/>
          <w:lang w:val="es-MX"/>
        </w:rPr>
        <w:footnoteReference w:id="32"/>
      </w:r>
      <w:r w:rsidR="0086362E" w:rsidRPr="00E33A7C">
        <w:rPr>
          <w:rFonts w:ascii="Times New Roman" w:hAnsi="Times New Roman" w:cs="Times New Roman"/>
          <w:sz w:val="28"/>
          <w:szCs w:val="28"/>
          <w:lang w:val="es-MX"/>
        </w:rPr>
        <w:t>.</w:t>
      </w:r>
    </w:p>
    <w:p w:rsidR="0086362E" w:rsidRPr="00E33A7C" w:rsidRDefault="0086362E" w:rsidP="00687E2E">
      <w:pPr>
        <w:spacing w:line="360" w:lineRule="auto"/>
        <w:ind w:left="357"/>
        <w:jc w:val="both"/>
        <w:rPr>
          <w:rFonts w:ascii="Times New Roman" w:hAnsi="Times New Roman" w:cs="Times New Roman"/>
          <w:sz w:val="28"/>
          <w:szCs w:val="28"/>
          <w:lang w:val="es-MX"/>
        </w:rPr>
      </w:pPr>
    </w:p>
    <w:p w:rsidR="0086362E" w:rsidRPr="00E33A7C" w:rsidRDefault="00477A9D"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Para solucionar de mejor manera las dubitaciones sobre la razonabilidad pueden servir los principios de la buena fe en el comercio internacional</w:t>
      </w:r>
      <w:r w:rsidRPr="00E33A7C">
        <w:rPr>
          <w:rStyle w:val="FootnoteReference"/>
          <w:rFonts w:ascii="Times New Roman" w:hAnsi="Times New Roman" w:cs="Times New Roman"/>
          <w:sz w:val="28"/>
          <w:szCs w:val="28"/>
          <w:lang w:val="es-MX"/>
        </w:rPr>
        <w:footnoteReference w:id="33"/>
      </w:r>
      <w:r w:rsidRPr="00E33A7C">
        <w:rPr>
          <w:rFonts w:ascii="Times New Roman" w:hAnsi="Times New Roman" w:cs="Times New Roman"/>
          <w:sz w:val="28"/>
          <w:szCs w:val="28"/>
          <w:lang w:val="es-MX"/>
        </w:rPr>
        <w:t xml:space="preserve">  aplicables al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y a los contratos que regula</w:t>
      </w:r>
      <w:r w:rsidR="00F65651" w:rsidRPr="00E33A7C">
        <w:rPr>
          <w:rFonts w:ascii="Times New Roman" w:hAnsi="Times New Roman" w:cs="Times New Roman"/>
          <w:sz w:val="28"/>
          <w:szCs w:val="28"/>
          <w:lang w:val="es-MX"/>
        </w:rPr>
        <w:t xml:space="preserve"> y otros</w:t>
      </w:r>
      <w:r w:rsidR="00C13784" w:rsidRPr="00E33A7C">
        <w:rPr>
          <w:rFonts w:ascii="Times New Roman" w:hAnsi="Times New Roman" w:cs="Times New Roman"/>
          <w:sz w:val="28"/>
          <w:szCs w:val="28"/>
          <w:lang w:val="es-MX"/>
        </w:rPr>
        <w:t xml:space="preserve"> como la lealtad negocial,  el denominado </w:t>
      </w:r>
      <w:r w:rsidR="00C13784" w:rsidRPr="00E33A7C">
        <w:rPr>
          <w:rFonts w:ascii="Times New Roman" w:hAnsi="Times New Roman" w:cs="Times New Roman"/>
          <w:i/>
          <w:sz w:val="28"/>
          <w:szCs w:val="28"/>
          <w:lang w:val="es-MX"/>
        </w:rPr>
        <w:t>in favor negotii</w:t>
      </w:r>
      <w:r w:rsidR="00C13784" w:rsidRPr="00E33A7C">
        <w:rPr>
          <w:rFonts w:ascii="Times New Roman" w:hAnsi="Times New Roman" w:cs="Times New Roman"/>
          <w:sz w:val="28"/>
          <w:szCs w:val="28"/>
          <w:lang w:val="es-MX"/>
        </w:rPr>
        <w:t>, que beneficia la interpretación que facilita el negocio acordad</w:t>
      </w:r>
      <w:r w:rsidR="00FD17B4" w:rsidRPr="00E33A7C">
        <w:rPr>
          <w:rFonts w:ascii="Times New Roman" w:hAnsi="Times New Roman" w:cs="Times New Roman"/>
          <w:sz w:val="28"/>
          <w:szCs w:val="28"/>
          <w:lang w:val="es-MX"/>
        </w:rPr>
        <w:t xml:space="preserve">o. Son pertinentes a la interpretación de los contratos internacionales y entre ellos al de compraventa de mercaderías los principios de </w:t>
      </w:r>
      <w:smartTag w:uri="urn:schemas-microsoft-com:office:smarttags" w:element="PersonName">
        <w:smartTagPr>
          <w:attr w:name="ProductID" w:val="la UNIDROIT"/>
        </w:smartTagPr>
        <w:r w:rsidR="00FD17B4" w:rsidRPr="00E33A7C">
          <w:rPr>
            <w:rFonts w:ascii="Times New Roman" w:hAnsi="Times New Roman" w:cs="Times New Roman"/>
            <w:sz w:val="28"/>
            <w:szCs w:val="28"/>
            <w:lang w:val="es-MX"/>
          </w:rPr>
          <w:t>la UNIDROIT</w:t>
        </w:r>
      </w:smartTag>
      <w:r w:rsidR="00FD17B4" w:rsidRPr="00E33A7C">
        <w:rPr>
          <w:rFonts w:ascii="Times New Roman" w:hAnsi="Times New Roman" w:cs="Times New Roman"/>
          <w:sz w:val="28"/>
          <w:szCs w:val="28"/>
          <w:lang w:val="es-MX"/>
        </w:rPr>
        <w:t>, ta</w:t>
      </w:r>
      <w:r w:rsidR="005703A5" w:rsidRPr="00E33A7C">
        <w:rPr>
          <w:rFonts w:ascii="Times New Roman" w:hAnsi="Times New Roman" w:cs="Times New Roman"/>
          <w:sz w:val="28"/>
          <w:szCs w:val="28"/>
          <w:lang w:val="es-MX"/>
        </w:rPr>
        <w:t>l</w:t>
      </w:r>
      <w:r w:rsidR="00FD17B4" w:rsidRPr="00E33A7C">
        <w:rPr>
          <w:rFonts w:ascii="Times New Roman" w:hAnsi="Times New Roman" w:cs="Times New Roman"/>
          <w:sz w:val="28"/>
          <w:szCs w:val="28"/>
          <w:lang w:val="es-MX"/>
        </w:rPr>
        <w:t>es como de libertad de contratación, la aplicación de usos y costumbres que prevalecerían, salvas excepciones sobre los principios, el indicado favor</w:t>
      </w:r>
      <w:r w:rsidR="005703A5" w:rsidRPr="00E33A7C">
        <w:rPr>
          <w:rFonts w:ascii="Times New Roman" w:hAnsi="Times New Roman" w:cs="Times New Roman"/>
          <w:sz w:val="28"/>
          <w:szCs w:val="28"/>
          <w:lang w:val="es-MX"/>
        </w:rPr>
        <w:t xml:space="preserve"> </w:t>
      </w:r>
      <w:r w:rsidR="00FD17B4" w:rsidRPr="00E33A7C">
        <w:rPr>
          <w:rFonts w:ascii="Times New Roman" w:hAnsi="Times New Roman" w:cs="Times New Roman"/>
          <w:sz w:val="28"/>
          <w:szCs w:val="28"/>
          <w:lang w:val="es-MX"/>
        </w:rPr>
        <w:t xml:space="preserve"> negotii</w:t>
      </w:r>
      <w:r w:rsidR="005703A5" w:rsidRPr="00E33A7C">
        <w:rPr>
          <w:rFonts w:ascii="Times New Roman" w:hAnsi="Times New Roman" w:cs="Times New Roman"/>
          <w:sz w:val="28"/>
          <w:szCs w:val="28"/>
          <w:lang w:val="es-MX"/>
        </w:rPr>
        <w:t xml:space="preserve"> que propugna mantener la validez del contrato no obstante los defectos que se puedan presentar  en su formación o cumplimiento, la buena fe y lealtad negocial, la  protección del contrato contra la injusticia singularmente para evitar cláusulas que limiten o excluyan  la responsabilidad por incumplimiento, que contemplen que el pago estipulado por incumplimiento fuere notoriamente excesivo, que exista una ventaja excesiva en beneficio de una de las partes, que incluya estipulaciones sorpresivas incluidas en cláusulas </w:t>
      </w:r>
      <w:r w:rsidR="003219F1" w:rsidRPr="00E33A7C">
        <w:rPr>
          <w:rFonts w:ascii="Times New Roman" w:hAnsi="Times New Roman" w:cs="Times New Roman"/>
          <w:sz w:val="28"/>
          <w:szCs w:val="28"/>
          <w:lang w:val="es-MX"/>
        </w:rPr>
        <w:t>estándar</w:t>
      </w:r>
      <w:r w:rsidR="005703A5" w:rsidRPr="00E33A7C">
        <w:rPr>
          <w:rStyle w:val="FootnoteReference"/>
          <w:rFonts w:ascii="Times New Roman" w:hAnsi="Times New Roman" w:cs="Times New Roman"/>
          <w:sz w:val="28"/>
          <w:szCs w:val="28"/>
          <w:lang w:val="es-MX"/>
        </w:rPr>
        <w:footnoteReference w:id="34"/>
      </w:r>
      <w:r w:rsidR="003219F1" w:rsidRPr="00E33A7C">
        <w:rPr>
          <w:rFonts w:ascii="Times New Roman" w:hAnsi="Times New Roman" w:cs="Times New Roman"/>
          <w:sz w:val="28"/>
          <w:szCs w:val="28"/>
          <w:lang w:val="es-MX"/>
        </w:rPr>
        <w:t>.</w:t>
      </w:r>
    </w:p>
    <w:p w:rsidR="00AB4D4E" w:rsidRPr="00E33A7C" w:rsidRDefault="00AB4D4E" w:rsidP="00687E2E">
      <w:pPr>
        <w:spacing w:line="360" w:lineRule="auto"/>
        <w:ind w:left="357"/>
        <w:jc w:val="both"/>
        <w:rPr>
          <w:rFonts w:ascii="Times New Roman" w:hAnsi="Times New Roman" w:cs="Times New Roman"/>
          <w:sz w:val="28"/>
          <w:szCs w:val="28"/>
          <w:lang w:val="es-MX"/>
        </w:rPr>
      </w:pPr>
    </w:p>
    <w:p w:rsidR="00AB4D4E" w:rsidRPr="00E33A7C" w:rsidRDefault="00AB4D4E"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7.</w:t>
      </w:r>
      <w:r w:rsidR="00B52500" w:rsidRPr="00E33A7C">
        <w:rPr>
          <w:rFonts w:ascii="Times New Roman" w:hAnsi="Times New Roman" w:cs="Times New Roman"/>
          <w:sz w:val="28"/>
          <w:szCs w:val="28"/>
          <w:lang w:val="es-MX"/>
        </w:rPr>
        <w:t xml:space="preserve"> </w:t>
      </w:r>
      <w:smartTag w:uri="urn:schemas-microsoft-com:office:smarttags" w:element="PersonName">
        <w:smartTagPr>
          <w:attr w:name="ProductID" w:val="la CV"/>
        </w:smartTagPr>
        <w:r w:rsidR="00B52500" w:rsidRPr="00E33A7C">
          <w:rPr>
            <w:rFonts w:ascii="Times New Roman" w:hAnsi="Times New Roman" w:cs="Times New Roman"/>
            <w:sz w:val="28"/>
            <w:szCs w:val="28"/>
            <w:lang w:val="es-MX"/>
          </w:rPr>
          <w:t>La CV</w:t>
        </w:r>
      </w:smartTag>
      <w:r w:rsidR="00B52500" w:rsidRPr="00E33A7C">
        <w:rPr>
          <w:rFonts w:ascii="Times New Roman" w:hAnsi="Times New Roman" w:cs="Times New Roman"/>
          <w:sz w:val="28"/>
          <w:szCs w:val="28"/>
          <w:lang w:val="es-MX"/>
        </w:rPr>
        <w:t xml:space="preserve"> contiene numerosas disposiciones sobre las obligaciones del vendedor y del comprador. El artículo 30 dice que el vendedor está obligado principalmente  a tres cosas: entregar las mercaderías, transmitir la propiedad y entregar cualesquiera documentos relacionados con ella en las condiciones establecidas en el contrato y en </w:t>
      </w:r>
      <w:smartTag w:uri="urn:schemas-microsoft-com:office:smarttags" w:element="PersonName">
        <w:smartTagPr>
          <w:attr w:name="ProductID" w:val="la CV."/>
        </w:smartTagPr>
        <w:r w:rsidR="00B52500" w:rsidRPr="00E33A7C">
          <w:rPr>
            <w:rFonts w:ascii="Times New Roman" w:hAnsi="Times New Roman" w:cs="Times New Roman"/>
            <w:sz w:val="28"/>
            <w:szCs w:val="28"/>
            <w:lang w:val="es-MX"/>
          </w:rPr>
          <w:t>la CV.</w:t>
        </w:r>
      </w:smartTag>
    </w:p>
    <w:p w:rsidR="007847C4" w:rsidRPr="00E33A7C" w:rsidRDefault="00072C40"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lastRenderedPageBreak/>
        <w:t xml:space="preserve"> </w:t>
      </w:r>
      <w:r w:rsidR="00282FCC" w:rsidRPr="00E33A7C">
        <w:rPr>
          <w:rFonts w:ascii="Times New Roman" w:hAnsi="Times New Roman" w:cs="Times New Roman"/>
          <w:sz w:val="28"/>
          <w:szCs w:val="28"/>
          <w:lang w:val="es-MX"/>
        </w:rPr>
        <w:t xml:space="preserve">7.1. </w:t>
      </w:r>
      <w:r w:rsidRPr="00E33A7C">
        <w:rPr>
          <w:rFonts w:ascii="Times New Roman" w:hAnsi="Times New Roman" w:cs="Times New Roman"/>
          <w:sz w:val="28"/>
          <w:szCs w:val="28"/>
          <w:lang w:val="es-MX"/>
        </w:rPr>
        <w:t>Las modalidades de entrega  de acuerdo a los INCOTERMS son EXW o en fábrica</w:t>
      </w:r>
      <w:r w:rsidR="007D50FD" w:rsidRPr="00E33A7C">
        <w:rPr>
          <w:rFonts w:ascii="Times New Roman" w:hAnsi="Times New Roman" w:cs="Times New Roman"/>
          <w:sz w:val="28"/>
          <w:szCs w:val="28"/>
          <w:lang w:val="es-MX"/>
        </w:rPr>
        <w:t>,</w:t>
      </w:r>
      <w:r w:rsidRPr="00E33A7C">
        <w:rPr>
          <w:rFonts w:ascii="Times New Roman" w:hAnsi="Times New Roman" w:cs="Times New Roman"/>
          <w:sz w:val="28"/>
          <w:szCs w:val="28"/>
          <w:lang w:val="es-MX"/>
        </w:rPr>
        <w:t xml:space="preserve"> en donde recoge las mercaderías el comprador quién de su cuenta de contratar y pagar el transporte y el seguro; FCA o en franco transportista</w:t>
      </w:r>
      <w:r w:rsidR="007943B7" w:rsidRPr="00E33A7C">
        <w:rPr>
          <w:rFonts w:ascii="Times New Roman" w:hAnsi="Times New Roman" w:cs="Times New Roman"/>
          <w:sz w:val="28"/>
          <w:szCs w:val="28"/>
          <w:lang w:val="es-MX"/>
        </w:rPr>
        <w:t xml:space="preserve">, </w:t>
      </w:r>
      <w:r w:rsidRPr="00E33A7C">
        <w:rPr>
          <w:rFonts w:ascii="Times New Roman" w:hAnsi="Times New Roman" w:cs="Times New Roman"/>
          <w:sz w:val="28"/>
          <w:szCs w:val="28"/>
          <w:lang w:val="es-MX"/>
        </w:rPr>
        <w:t>el vendedor entrega las mercaderías al transportista designado por el comprador, debiendo asumir los gastos de carga y descarga hasta que las mercaderías estén en manos del comprador; FAS o franco al costado del buque, el vendedor entrega las mercaderías poniéndolas</w:t>
      </w:r>
      <w:r w:rsidR="007943B7" w:rsidRPr="00E33A7C">
        <w:rPr>
          <w:rFonts w:ascii="Times New Roman" w:hAnsi="Times New Roman" w:cs="Times New Roman"/>
          <w:sz w:val="28"/>
          <w:szCs w:val="28"/>
          <w:lang w:val="es-MX"/>
        </w:rPr>
        <w:t xml:space="preserve"> al costado del  buque, sobre el muelle o en barcazas en el puerto convenido, debiendo avisar al comprador cuando hizo la entrega y proporcionarle los documentos de la misma; FOB o franco a bordo, el vendedor debe realizar la entrega a bordo de un buque en el puerto convenido, asume los gastosa de carga y los derechos correspondientes, así como efectuar los trámites y dar aviso al comprador; CFR o costo y flete</w:t>
      </w:r>
      <w:r w:rsidR="007D50FD" w:rsidRPr="00E33A7C">
        <w:rPr>
          <w:rFonts w:ascii="Times New Roman" w:hAnsi="Times New Roman" w:cs="Times New Roman"/>
          <w:sz w:val="28"/>
          <w:szCs w:val="28"/>
          <w:lang w:val="es-MX"/>
        </w:rPr>
        <w:t>,</w:t>
      </w:r>
      <w:r w:rsidR="007943B7" w:rsidRPr="00E33A7C">
        <w:rPr>
          <w:rFonts w:ascii="Times New Roman" w:hAnsi="Times New Roman" w:cs="Times New Roman"/>
          <w:sz w:val="28"/>
          <w:szCs w:val="28"/>
          <w:lang w:val="es-MX"/>
        </w:rPr>
        <w:t xml:space="preserve"> el vendedor entrega la mercancía a bordo de un buque que deberá  conducirla</w:t>
      </w:r>
      <w:r w:rsidRPr="00E33A7C">
        <w:rPr>
          <w:rFonts w:ascii="Times New Roman" w:hAnsi="Times New Roman" w:cs="Times New Roman"/>
          <w:sz w:val="28"/>
          <w:szCs w:val="28"/>
          <w:lang w:val="es-MX"/>
        </w:rPr>
        <w:t xml:space="preserve"> </w:t>
      </w:r>
      <w:r w:rsidR="007943B7" w:rsidRPr="00E33A7C">
        <w:rPr>
          <w:rFonts w:ascii="Times New Roman" w:hAnsi="Times New Roman" w:cs="Times New Roman"/>
          <w:sz w:val="28"/>
          <w:szCs w:val="28"/>
          <w:lang w:val="es-MX"/>
        </w:rPr>
        <w:t xml:space="preserve"> al puerto de destino, comprometiéndose a pagar los gastos previos y necesarios</w:t>
      </w:r>
      <w:r w:rsidR="007D50FD" w:rsidRPr="00E33A7C">
        <w:rPr>
          <w:rFonts w:ascii="Times New Roman" w:hAnsi="Times New Roman" w:cs="Times New Roman"/>
          <w:sz w:val="28"/>
          <w:szCs w:val="28"/>
          <w:lang w:val="es-MX"/>
        </w:rPr>
        <w:t xml:space="preserve"> para la entrega, efectuar los trámites de exportación  pagar los derechos correspondientes así  como los de  transporte hasta el puerto de destino, de tal modo que el  comprador, previo aviso, pueda disponer de la carta de porte que le permita negociar las mercaderías; CIF o costo, seguro y flete, similar al CFR con la sola variante de que el vendedor debe contratar y pagar el seguro de las mercaderías, siendo un sistema muy utilizado; DAF o entrega en frontera, el  vendedor queda obligado a entregar la mercadería en un lugar de la frontera previa al  país del comprador</w:t>
      </w:r>
      <w:r w:rsidR="00E74FA0" w:rsidRPr="00E33A7C">
        <w:rPr>
          <w:rFonts w:ascii="Times New Roman" w:hAnsi="Times New Roman" w:cs="Times New Roman"/>
          <w:sz w:val="28"/>
          <w:szCs w:val="28"/>
          <w:lang w:val="es-MX"/>
        </w:rPr>
        <w:t xml:space="preserve">, por que debe hacerse cargo de los gastos de transporte hasta el lugar de entrega, así como de asumir los riesgos, hacer los trámites y pagar los derechos de exportación; DES o entrega sobre buque, el vendedor entrega la mercadería al bordo del buque en el puerto de destino corre con los riesgos y gastos, inclusive flete, asume los trámites y pago de derechos; DEQ o entrega en muelle, similar al </w:t>
      </w:r>
      <w:r w:rsidR="00E74FA0" w:rsidRPr="00E33A7C">
        <w:rPr>
          <w:rFonts w:ascii="Times New Roman" w:hAnsi="Times New Roman" w:cs="Times New Roman"/>
          <w:sz w:val="28"/>
          <w:szCs w:val="28"/>
          <w:lang w:val="es-MX"/>
        </w:rPr>
        <w:lastRenderedPageBreak/>
        <w:t xml:space="preserve">anterior con la diferencia que al entregar en el  muelle, el vendedor se hace cargo de los gastos de descarga, pudiendo convenirse en que no satisfaga los derechos de importación con la expresión  </w:t>
      </w:r>
      <w:r w:rsidR="00E74FA0" w:rsidRPr="00E33A7C">
        <w:rPr>
          <w:rFonts w:ascii="Times New Roman" w:hAnsi="Times New Roman" w:cs="Times New Roman"/>
          <w:i/>
          <w:sz w:val="28"/>
          <w:szCs w:val="28"/>
          <w:lang w:val="es-MX"/>
        </w:rPr>
        <w:t>duty unpaid</w:t>
      </w:r>
      <w:r w:rsidR="00E74FA0" w:rsidRPr="00E33A7C">
        <w:rPr>
          <w:rFonts w:ascii="Times New Roman" w:hAnsi="Times New Roman" w:cs="Times New Roman"/>
          <w:sz w:val="28"/>
          <w:szCs w:val="28"/>
          <w:lang w:val="es-MX"/>
        </w:rPr>
        <w:t>;</w:t>
      </w:r>
      <w:r w:rsidR="007D50FD" w:rsidRPr="00E33A7C">
        <w:rPr>
          <w:rFonts w:ascii="Times New Roman" w:hAnsi="Times New Roman" w:cs="Times New Roman"/>
          <w:sz w:val="28"/>
          <w:szCs w:val="28"/>
          <w:lang w:val="es-MX"/>
        </w:rPr>
        <w:t xml:space="preserve"> </w:t>
      </w:r>
      <w:r w:rsidR="00E74FA0" w:rsidRPr="00E33A7C">
        <w:rPr>
          <w:rFonts w:ascii="Times New Roman" w:hAnsi="Times New Roman" w:cs="Times New Roman"/>
          <w:sz w:val="28"/>
          <w:szCs w:val="28"/>
          <w:lang w:val="es-MX"/>
        </w:rPr>
        <w:t>DDU o entregada derechos no pagados, el vendedor entrega las mercancías en un lugar del país de importación, pero los trámites y derechos corren a cargo del comprador; DDP o entregada derechos pagados</w:t>
      </w:r>
      <w:r w:rsidR="007847C4" w:rsidRPr="00E33A7C">
        <w:rPr>
          <w:rFonts w:ascii="Times New Roman" w:hAnsi="Times New Roman" w:cs="Times New Roman"/>
          <w:sz w:val="28"/>
          <w:szCs w:val="28"/>
          <w:lang w:val="es-MX"/>
        </w:rPr>
        <w:t>, el vendedor entrega en un lugar convenido en el país de importación, y asume todos los gastos y riesgos hasta ese momento, así  como la responsabilidad de despachar las mercancía para la exportación e importación y pagar los derechos correspondientes. Es importante distinguir si la entrega es directa al comprador o indirecta al transportista</w:t>
      </w:r>
      <w:r w:rsidR="007847C4" w:rsidRPr="00E33A7C">
        <w:rPr>
          <w:rStyle w:val="FootnoteReference"/>
          <w:rFonts w:ascii="Times New Roman" w:hAnsi="Times New Roman" w:cs="Times New Roman"/>
          <w:sz w:val="28"/>
          <w:szCs w:val="28"/>
          <w:lang w:val="es-MX"/>
        </w:rPr>
        <w:footnoteReference w:id="35"/>
      </w:r>
      <w:r w:rsidR="007847C4" w:rsidRPr="00E33A7C">
        <w:rPr>
          <w:rFonts w:ascii="Times New Roman" w:hAnsi="Times New Roman" w:cs="Times New Roman"/>
          <w:sz w:val="28"/>
          <w:szCs w:val="28"/>
          <w:lang w:val="es-MX"/>
        </w:rPr>
        <w:t xml:space="preserve">. </w:t>
      </w:r>
      <w:smartTag w:uri="urn:schemas-microsoft-com:office:smarttags" w:element="PersonName">
        <w:smartTagPr>
          <w:attr w:name="ProductID" w:val="la CV"/>
        </w:smartTagPr>
        <w:r w:rsidR="007847C4" w:rsidRPr="00E33A7C">
          <w:rPr>
            <w:rFonts w:ascii="Times New Roman" w:hAnsi="Times New Roman" w:cs="Times New Roman"/>
            <w:sz w:val="28"/>
            <w:szCs w:val="28"/>
            <w:lang w:val="es-MX"/>
          </w:rPr>
          <w:t>La CV</w:t>
        </w:r>
      </w:smartTag>
      <w:r w:rsidR="007847C4" w:rsidRPr="00E33A7C">
        <w:rPr>
          <w:rFonts w:ascii="Times New Roman" w:hAnsi="Times New Roman" w:cs="Times New Roman"/>
          <w:sz w:val="28"/>
          <w:szCs w:val="28"/>
          <w:lang w:val="es-MX"/>
        </w:rPr>
        <w:t xml:space="preserve"> también diferencia entre contrato que implique el transporte,  artículos </w:t>
      </w:r>
      <w:smartTag w:uri="urn:schemas-microsoft-com:office:smarttags" w:element="metricconverter">
        <w:smartTagPr>
          <w:attr w:name="ProductID" w:val="31 a"/>
        </w:smartTagPr>
        <w:r w:rsidR="007847C4" w:rsidRPr="00E33A7C">
          <w:rPr>
            <w:rFonts w:ascii="Times New Roman" w:hAnsi="Times New Roman" w:cs="Times New Roman"/>
            <w:sz w:val="28"/>
            <w:szCs w:val="28"/>
            <w:lang w:val="es-MX"/>
          </w:rPr>
          <w:t>31 a</w:t>
        </w:r>
      </w:smartTag>
      <w:r w:rsidR="007847C4" w:rsidRPr="00E33A7C">
        <w:rPr>
          <w:rFonts w:ascii="Times New Roman" w:hAnsi="Times New Roman" w:cs="Times New Roman"/>
          <w:sz w:val="28"/>
          <w:szCs w:val="28"/>
          <w:lang w:val="es-MX"/>
        </w:rPr>
        <w:t>) y 67 y el que no lo implica artículo 31 b) y c) y 68.</w:t>
      </w:r>
    </w:p>
    <w:p w:rsidR="001D0D67" w:rsidRPr="00E33A7C" w:rsidRDefault="001D0D67" w:rsidP="00687E2E">
      <w:pPr>
        <w:spacing w:line="360" w:lineRule="auto"/>
        <w:ind w:left="357"/>
        <w:jc w:val="both"/>
        <w:rPr>
          <w:rFonts w:ascii="Times New Roman" w:hAnsi="Times New Roman" w:cs="Times New Roman"/>
          <w:sz w:val="28"/>
          <w:szCs w:val="28"/>
          <w:lang w:val="es-MX"/>
        </w:rPr>
      </w:pPr>
    </w:p>
    <w:p w:rsidR="001D0D67" w:rsidRPr="00E33A7C" w:rsidRDefault="001D0D67"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Respecto de la entrega de las mercaderías que constituye la puesta de las mismas a disposición del comprador existen  varios puntos a evacuar. El lugar de la entrega es que de acuerdo al principio de la autonomía de la voluntad se convenga. Puede incluir o no el transporte así como el seguro. Los INCOTERMS indicados precisan las varias modalidades de entrega en las que se </w:t>
      </w:r>
      <w:r w:rsidR="00A84B34">
        <w:rPr>
          <w:rFonts w:ascii="Times New Roman" w:hAnsi="Times New Roman" w:cs="Times New Roman"/>
          <w:sz w:val="28"/>
          <w:szCs w:val="28"/>
          <w:lang w:val="es-MX"/>
        </w:rPr>
        <w:t xml:space="preserve">contempla </w:t>
      </w:r>
      <w:r w:rsidRPr="00E33A7C">
        <w:rPr>
          <w:rFonts w:ascii="Times New Roman" w:hAnsi="Times New Roman" w:cs="Times New Roman"/>
          <w:sz w:val="28"/>
          <w:szCs w:val="28"/>
          <w:lang w:val="es-MX"/>
        </w:rPr>
        <w:t>el transporte y el seguro. Tema adicional pero no por ello sin importancia es la identificación de las mercaderías. Si estas no llevan señales, debe el vendedor remitir al comprador un listado con las especificaciones.</w:t>
      </w:r>
    </w:p>
    <w:p w:rsidR="001F5A34" w:rsidRPr="00E33A7C" w:rsidRDefault="001F5A34" w:rsidP="00687E2E">
      <w:pPr>
        <w:spacing w:line="360" w:lineRule="auto"/>
        <w:ind w:left="357"/>
        <w:jc w:val="both"/>
        <w:rPr>
          <w:rFonts w:ascii="Times New Roman" w:hAnsi="Times New Roman" w:cs="Times New Roman"/>
          <w:sz w:val="28"/>
          <w:szCs w:val="28"/>
          <w:lang w:val="es-MX"/>
        </w:rPr>
      </w:pPr>
    </w:p>
    <w:p w:rsidR="001F5A34" w:rsidRPr="00E33A7C" w:rsidRDefault="001F5A34"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momento de la entrega es otro punto de importancia. Debe realizarse en la fecha fijada  directa o indirectamente en el contrato. Puede tratarse de una fecha fija o de un plazo dentro del cual  se realice la entrega. La </w:t>
      </w:r>
      <w:r w:rsidRPr="00E33A7C">
        <w:rPr>
          <w:rFonts w:ascii="Times New Roman" w:hAnsi="Times New Roman" w:cs="Times New Roman"/>
          <w:sz w:val="28"/>
          <w:szCs w:val="28"/>
          <w:lang w:val="es-MX"/>
        </w:rPr>
        <w:lastRenderedPageBreak/>
        <w:t>sentencia de 24 de abril de 1990,  del Amstgericht I Holstein, hiere el punto de</w:t>
      </w:r>
      <w:r w:rsidR="007A1622" w:rsidRPr="00E33A7C">
        <w:rPr>
          <w:rFonts w:ascii="Times New Roman" w:hAnsi="Times New Roman" w:cs="Times New Roman"/>
          <w:sz w:val="28"/>
          <w:szCs w:val="28"/>
          <w:lang w:val="es-MX"/>
        </w:rPr>
        <w:t>l momento de</w:t>
      </w:r>
      <w:r w:rsidRPr="00E33A7C">
        <w:rPr>
          <w:rFonts w:ascii="Times New Roman" w:hAnsi="Times New Roman" w:cs="Times New Roman"/>
          <w:sz w:val="28"/>
          <w:szCs w:val="28"/>
          <w:lang w:val="es-MX"/>
        </w:rPr>
        <w:t xml:space="preserve"> la entrega:</w:t>
      </w:r>
    </w:p>
    <w:p w:rsidR="001F5A34" w:rsidRPr="00E33A7C" w:rsidRDefault="001F5A34" w:rsidP="00687E2E">
      <w:pPr>
        <w:spacing w:line="360" w:lineRule="auto"/>
        <w:ind w:left="357"/>
        <w:jc w:val="both"/>
        <w:rPr>
          <w:rFonts w:ascii="Times New Roman" w:hAnsi="Times New Roman" w:cs="Times New Roman"/>
          <w:sz w:val="28"/>
          <w:szCs w:val="28"/>
          <w:lang w:val="es-MX"/>
        </w:rPr>
      </w:pPr>
    </w:p>
    <w:p w:rsidR="007A1622" w:rsidRPr="00A20492" w:rsidRDefault="001F5A34" w:rsidP="007A1622">
      <w:pPr>
        <w:spacing w:line="360" w:lineRule="auto"/>
        <w:ind w:left="357"/>
        <w:jc w:val="both"/>
        <w:rPr>
          <w:rFonts w:ascii="Times New Roman" w:hAnsi="Times New Roman" w:cs="Times New Roman"/>
          <w:sz w:val="20"/>
          <w:szCs w:val="20"/>
          <w:lang w:val="es-MX"/>
        </w:rPr>
      </w:pPr>
      <w:r w:rsidRPr="00A20492">
        <w:rPr>
          <w:rFonts w:ascii="Times New Roman" w:hAnsi="Times New Roman" w:cs="Times New Roman"/>
          <w:sz w:val="20"/>
          <w:szCs w:val="20"/>
          <w:lang w:val="es-MX"/>
        </w:rPr>
        <w:t>En este caso se trataba de un contrato celebrado  entre un propietario alemán de una tienda de modas</w:t>
      </w:r>
      <w:r w:rsidR="007A1622" w:rsidRPr="00A20492">
        <w:rPr>
          <w:rFonts w:ascii="Times New Roman" w:hAnsi="Times New Roman" w:cs="Times New Roman"/>
          <w:sz w:val="20"/>
          <w:szCs w:val="20"/>
          <w:lang w:val="es-MX"/>
        </w:rPr>
        <w:t xml:space="preserve"> y un fabricante de prendas de vestir italiano para la adquisición de determinadas prendas. El contrato se refería en forma específica a “moda de otoño” y concretaba entregas en Julio, Agosto y Septiembre. El 26  de Septiembre el vendedor intentó una primera entrega que fue rechazada por el comprador quién el 2 de septiembre -debe ser octubre- devolvió la factura afirmando que había expirado el plazo de entrega. El Tribunal reconoció al vendedor el derecho a recibir todo el precio pactado por la venta, dado que la entrega se intentó  dentro del plazo fijado para la misma, incluso aún aceptando la afirmación del comprador en el sentido de que en cada uno de los tres meses señalado debía haberse entregado un tercio de las mercaderías</w:t>
      </w:r>
      <w:r w:rsidR="00FD28AA" w:rsidRPr="00A20492">
        <w:rPr>
          <w:rFonts w:ascii="Times New Roman" w:hAnsi="Times New Roman" w:cs="Times New Roman"/>
          <w:sz w:val="20"/>
          <w:szCs w:val="20"/>
          <w:lang w:val="es-MX"/>
        </w:rPr>
        <w:t>, el comprador no había anulado de forma efectiva el contrato al negarse a aceptar las mercaderías sin haber fijado un plazo adicional en los casos anteriores de falta de entrega</w:t>
      </w:r>
      <w:r w:rsidR="00FD28AA" w:rsidRPr="00A20492">
        <w:rPr>
          <w:rStyle w:val="FootnoteReference"/>
          <w:rFonts w:ascii="Times New Roman" w:hAnsi="Times New Roman" w:cs="Times New Roman"/>
          <w:sz w:val="20"/>
          <w:szCs w:val="20"/>
          <w:lang w:val="es-MX"/>
        </w:rPr>
        <w:footnoteReference w:id="36"/>
      </w:r>
      <w:r w:rsidR="00FD28AA" w:rsidRPr="00A20492">
        <w:rPr>
          <w:rFonts w:ascii="Times New Roman" w:hAnsi="Times New Roman" w:cs="Times New Roman"/>
          <w:sz w:val="20"/>
          <w:szCs w:val="20"/>
          <w:lang w:val="es-MX"/>
        </w:rPr>
        <w:t>.</w:t>
      </w:r>
    </w:p>
    <w:p w:rsidR="00FD28AA" w:rsidRPr="00E33A7C" w:rsidRDefault="00FD28AA" w:rsidP="007A1622">
      <w:pPr>
        <w:spacing w:line="360" w:lineRule="auto"/>
        <w:ind w:left="357"/>
        <w:jc w:val="both"/>
        <w:rPr>
          <w:rFonts w:ascii="Times New Roman" w:hAnsi="Times New Roman" w:cs="Times New Roman"/>
          <w:sz w:val="28"/>
          <w:szCs w:val="28"/>
          <w:lang w:val="es-MX"/>
        </w:rPr>
      </w:pPr>
    </w:p>
    <w:p w:rsidR="00FD28AA" w:rsidRPr="00E33A7C" w:rsidRDefault="00FD28AA" w:rsidP="007A1622">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Cuando no se haya fijado  plazo la entrega debe hacerse en uno que sea razonable. Tal condición dependerá de factores tales como la naturaleza de la mercadería, si se la debe fabricar o si ya lo está. La entrega anticipada es un prepago que  puede ser o no aceptada por el adquirente de las mercaderías. En general, en el fuero mercantil, el prepago, inclusive el de intereses para el caso de mutuo o préstamo de c</w:t>
      </w:r>
      <w:r w:rsidR="00CF1DD3" w:rsidRPr="00E33A7C">
        <w:rPr>
          <w:rFonts w:ascii="Times New Roman" w:hAnsi="Times New Roman" w:cs="Times New Roman"/>
          <w:sz w:val="28"/>
          <w:szCs w:val="28"/>
          <w:lang w:val="es-MX"/>
        </w:rPr>
        <w:t>onsumo, no obliga al acreedor de la obligación.</w:t>
      </w:r>
    </w:p>
    <w:p w:rsidR="00CF1DD3" w:rsidRPr="00E33A7C" w:rsidRDefault="00CF1DD3" w:rsidP="007A1622">
      <w:pPr>
        <w:spacing w:line="360" w:lineRule="auto"/>
        <w:ind w:left="357"/>
        <w:jc w:val="both"/>
        <w:rPr>
          <w:rFonts w:ascii="Times New Roman" w:hAnsi="Times New Roman" w:cs="Times New Roman"/>
          <w:sz w:val="28"/>
          <w:szCs w:val="28"/>
          <w:lang w:val="es-MX"/>
        </w:rPr>
      </w:pPr>
    </w:p>
    <w:p w:rsidR="007847C4" w:rsidRPr="00E33A7C" w:rsidRDefault="00AB1345"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7.2. </w:t>
      </w:r>
      <w:r w:rsidR="00CF1DD3" w:rsidRPr="00E33A7C">
        <w:rPr>
          <w:rFonts w:ascii="Times New Roman" w:hAnsi="Times New Roman" w:cs="Times New Roman"/>
          <w:sz w:val="28"/>
          <w:szCs w:val="28"/>
          <w:lang w:val="es-MX"/>
        </w:rPr>
        <w:t>Las mercaderías entregadas deben guardar conformidad con lo acordado en los órdenes cuantitativo, cualitativo y jurídico. La entrega de una cantidad mayor queda a la aceptación del comprador, quién en caso de aceptarla debe incrementar el precio. Deben, además corresponder a la calidad y tipo pactado</w:t>
      </w:r>
      <w:r w:rsidR="00C86C8C" w:rsidRPr="00E33A7C">
        <w:rPr>
          <w:rFonts w:ascii="Times New Roman" w:hAnsi="Times New Roman" w:cs="Times New Roman"/>
          <w:sz w:val="28"/>
          <w:szCs w:val="28"/>
          <w:lang w:val="es-MX"/>
        </w:rPr>
        <w:t xml:space="preserve"> y envasadas y embaladas en la forma prefijada. Si no hay concierto previo,  </w:t>
      </w:r>
      <w:smartTag w:uri="urn:schemas-microsoft-com:office:smarttags" w:element="PersonName">
        <w:smartTagPr>
          <w:attr w:name="ProductID" w:val="la CV"/>
        </w:smartTagPr>
        <w:r w:rsidR="00C86C8C" w:rsidRPr="00E33A7C">
          <w:rPr>
            <w:rFonts w:ascii="Times New Roman" w:hAnsi="Times New Roman" w:cs="Times New Roman"/>
            <w:sz w:val="28"/>
            <w:szCs w:val="28"/>
            <w:lang w:val="es-MX"/>
          </w:rPr>
          <w:t>la CV</w:t>
        </w:r>
      </w:smartTag>
      <w:r w:rsidR="00C86C8C" w:rsidRPr="00E33A7C">
        <w:rPr>
          <w:rFonts w:ascii="Times New Roman" w:hAnsi="Times New Roman" w:cs="Times New Roman"/>
          <w:sz w:val="28"/>
          <w:szCs w:val="28"/>
          <w:lang w:val="es-MX"/>
        </w:rPr>
        <w:t xml:space="preserve"> señala criterios para solucionar la situación. Sí que las mercaderías sean aptas para los usos </w:t>
      </w:r>
      <w:r w:rsidR="00C86C8C" w:rsidRPr="00E33A7C">
        <w:rPr>
          <w:rFonts w:ascii="Times New Roman" w:hAnsi="Times New Roman" w:cs="Times New Roman"/>
          <w:sz w:val="28"/>
          <w:szCs w:val="28"/>
          <w:lang w:val="es-MX"/>
        </w:rPr>
        <w:lastRenderedPageBreak/>
        <w:t>que ordinariamente se destinen; sean aptas al propósito indicado cuando el vendedor al momento de la celebración del contrato lo explicita; que posean las cualidades de la muestra o modelo presentado por el vendedor; que se encuentren embaladas o envasadas en la forma que es habitual. La conformidad jurídica concierne a que las mercaderías se encuentren libres de embarazos y pretensiones de terceros, cuestiones que pueden tener relación  con temas de propiedad intelectual.</w:t>
      </w:r>
    </w:p>
    <w:p w:rsidR="00935CA1" w:rsidRPr="00E33A7C" w:rsidRDefault="00935CA1" w:rsidP="00687E2E">
      <w:pPr>
        <w:spacing w:line="360" w:lineRule="auto"/>
        <w:ind w:left="357"/>
        <w:jc w:val="both"/>
        <w:rPr>
          <w:rFonts w:ascii="Times New Roman" w:hAnsi="Times New Roman" w:cs="Times New Roman"/>
          <w:sz w:val="28"/>
          <w:szCs w:val="28"/>
          <w:lang w:val="es-MX"/>
        </w:rPr>
      </w:pPr>
    </w:p>
    <w:p w:rsidR="009E5638" w:rsidRPr="00E33A7C" w:rsidRDefault="00935CA1" w:rsidP="009E563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El comprador ha de examinar o ha de hacer examinar las mercaderías en el plazo más breve posible para, de ser el caso, mostrar su  conformidad.</w:t>
      </w:r>
      <w:r w:rsidR="009E5638" w:rsidRPr="00E33A7C">
        <w:rPr>
          <w:rFonts w:ascii="Times New Roman" w:hAnsi="Times New Roman" w:cs="Times New Roman"/>
          <w:sz w:val="28"/>
          <w:szCs w:val="28"/>
          <w:lang w:val="es-MX"/>
        </w:rPr>
        <w:t xml:space="preserve"> El vendedor responde en forma genérica de acuerdo al contrato por la falta de conformidad que exista al momento de la transmisión del riesgo aunque la falta se descubra posteriormente. También responde el vendedor pese a que se haya transmitido el riesgo cuando exista incumplimiento de sus obligaciones. El vendedor no responde por la falta de conformidad cuando el comprador conociera o hubiera podido conocer el estado de la mercadería. Igual ocurre cuando al momento de la celebración del contrato el  comprador conociera o hubiera podido conocer cuales quiera derechos o pretensiones de terceros basados en la propiedad industrial u otros referentes a la propiedad intelectual. Así lo previenen los artículos</w:t>
      </w:r>
      <w:r w:rsidR="006B7204" w:rsidRPr="00E33A7C">
        <w:rPr>
          <w:rFonts w:ascii="Times New Roman" w:hAnsi="Times New Roman" w:cs="Times New Roman"/>
          <w:sz w:val="28"/>
          <w:szCs w:val="28"/>
          <w:lang w:val="es-MX"/>
        </w:rPr>
        <w:t xml:space="preserve"> 36 numeral 1 y 2, 35 numeral 2 y 3 y 42 numeral 2 de </w:t>
      </w:r>
      <w:smartTag w:uri="urn:schemas-microsoft-com:office:smarttags" w:element="PersonName">
        <w:smartTagPr>
          <w:attr w:name="ProductID" w:val="la CV."/>
        </w:smartTagPr>
        <w:r w:rsidR="006B7204" w:rsidRPr="00E33A7C">
          <w:rPr>
            <w:rFonts w:ascii="Times New Roman" w:hAnsi="Times New Roman" w:cs="Times New Roman"/>
            <w:sz w:val="28"/>
            <w:szCs w:val="28"/>
            <w:lang w:val="es-MX"/>
          </w:rPr>
          <w:t>la CV.</w:t>
        </w:r>
      </w:smartTag>
    </w:p>
    <w:p w:rsidR="006B7204" w:rsidRPr="00E33A7C" w:rsidRDefault="006B7204" w:rsidP="009E5638">
      <w:pPr>
        <w:spacing w:line="360" w:lineRule="auto"/>
        <w:ind w:left="357"/>
        <w:jc w:val="both"/>
        <w:rPr>
          <w:rFonts w:ascii="Times New Roman" w:hAnsi="Times New Roman" w:cs="Times New Roman"/>
          <w:sz w:val="28"/>
          <w:szCs w:val="28"/>
          <w:lang w:val="es-MX"/>
        </w:rPr>
      </w:pPr>
    </w:p>
    <w:p w:rsidR="006B7204" w:rsidRPr="000847C9" w:rsidRDefault="006B7204" w:rsidP="009E5638">
      <w:pPr>
        <w:spacing w:line="360" w:lineRule="auto"/>
        <w:ind w:left="357"/>
        <w:jc w:val="both"/>
        <w:rPr>
          <w:rFonts w:ascii="Times New Roman" w:hAnsi="Times New Roman" w:cs="Times New Roman"/>
          <w:i/>
          <w:sz w:val="20"/>
          <w:szCs w:val="20"/>
          <w:lang w:val="es-MX"/>
        </w:rPr>
      </w:pPr>
      <w:r w:rsidRPr="000847C9">
        <w:rPr>
          <w:rFonts w:ascii="Times New Roman" w:hAnsi="Times New Roman" w:cs="Times New Roman"/>
          <w:i/>
          <w:sz w:val="20"/>
          <w:szCs w:val="20"/>
          <w:lang w:val="es-MX"/>
        </w:rPr>
        <w:t xml:space="preserve">El laudo de 1993 se plantea la cuestión de determinar la parte a la que corresponde establecer la falta de conformidad, cuestión </w:t>
      </w:r>
      <w:r w:rsidR="002B2C86" w:rsidRPr="000847C9">
        <w:rPr>
          <w:rFonts w:ascii="Times New Roman" w:hAnsi="Times New Roman" w:cs="Times New Roman"/>
          <w:i/>
          <w:sz w:val="20"/>
          <w:szCs w:val="20"/>
          <w:lang w:val="es-MX"/>
        </w:rPr>
        <w:t xml:space="preserve">ésta </w:t>
      </w:r>
      <w:r w:rsidRPr="000847C9">
        <w:rPr>
          <w:rFonts w:ascii="Times New Roman" w:hAnsi="Times New Roman" w:cs="Times New Roman"/>
          <w:i/>
          <w:sz w:val="20"/>
          <w:szCs w:val="20"/>
          <w:lang w:val="es-MX"/>
        </w:rPr>
        <w:t xml:space="preserve">no tratada en el Convenio. En este caso se había elegido el Derecho francés como Derecho aplicable al contrato lo que había llevado directamente a la aplicación del Convenio de Viena de 1980. La solución del Tribunal arbitral fue aplicar el Derecho civil francés y los principios generales del comercio internacional, entendiendo de acuerdo a los </w:t>
      </w:r>
      <w:r w:rsidRPr="000847C9">
        <w:rPr>
          <w:rFonts w:ascii="Times New Roman" w:hAnsi="Times New Roman" w:cs="Times New Roman"/>
          <w:i/>
          <w:sz w:val="20"/>
          <w:szCs w:val="20"/>
          <w:lang w:val="es-MX"/>
        </w:rPr>
        <w:lastRenderedPageBreak/>
        <w:t xml:space="preserve">mismos, que </w:t>
      </w:r>
      <w:r w:rsidRPr="000847C9">
        <w:rPr>
          <w:rFonts w:ascii="Times New Roman" w:hAnsi="Times New Roman" w:cs="Times New Roman"/>
          <w:b/>
          <w:i/>
          <w:sz w:val="20"/>
          <w:szCs w:val="20"/>
          <w:lang w:val="es-MX"/>
        </w:rPr>
        <w:t>la parte que invoca la falta de conformidad es la que debe demostrarla</w:t>
      </w:r>
      <w:r w:rsidR="002B2C86" w:rsidRPr="000847C9">
        <w:rPr>
          <w:rStyle w:val="FootnoteReference"/>
          <w:rFonts w:ascii="Times New Roman" w:hAnsi="Times New Roman" w:cs="Times New Roman"/>
          <w:b/>
          <w:i/>
          <w:sz w:val="20"/>
          <w:szCs w:val="20"/>
          <w:lang w:val="es-MX"/>
        </w:rPr>
        <w:footnoteReference w:id="37"/>
      </w:r>
      <w:r w:rsidRPr="000847C9">
        <w:rPr>
          <w:rFonts w:ascii="Times New Roman" w:hAnsi="Times New Roman" w:cs="Times New Roman"/>
          <w:i/>
          <w:sz w:val="20"/>
          <w:szCs w:val="20"/>
          <w:lang w:val="es-MX"/>
        </w:rPr>
        <w:t>.</w:t>
      </w:r>
      <w:r w:rsidR="002B2C86" w:rsidRPr="000847C9">
        <w:rPr>
          <w:rFonts w:ascii="Times New Roman" w:hAnsi="Times New Roman" w:cs="Times New Roman"/>
          <w:i/>
          <w:sz w:val="20"/>
          <w:szCs w:val="20"/>
          <w:lang w:val="es-MX"/>
        </w:rPr>
        <w:t xml:space="preserve"> El énfasis es añadido.</w:t>
      </w:r>
    </w:p>
    <w:p w:rsidR="002B2C86" w:rsidRPr="00E33A7C" w:rsidRDefault="002B2C86" w:rsidP="009E5638">
      <w:pPr>
        <w:spacing w:line="360" w:lineRule="auto"/>
        <w:ind w:left="357"/>
        <w:jc w:val="both"/>
        <w:rPr>
          <w:rFonts w:ascii="Times New Roman" w:hAnsi="Times New Roman" w:cs="Times New Roman"/>
          <w:sz w:val="28"/>
          <w:szCs w:val="28"/>
          <w:lang w:val="es-MX"/>
        </w:rPr>
      </w:pPr>
    </w:p>
    <w:p w:rsidR="002B2C86" w:rsidRPr="00E33A7C" w:rsidRDefault="00AB1345" w:rsidP="009E563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7.3. </w:t>
      </w:r>
      <w:r w:rsidR="002B2C86" w:rsidRPr="00E33A7C">
        <w:rPr>
          <w:rFonts w:ascii="Times New Roman" w:hAnsi="Times New Roman" w:cs="Times New Roman"/>
          <w:sz w:val="28"/>
          <w:szCs w:val="28"/>
          <w:lang w:val="es-MX"/>
        </w:rPr>
        <w:t xml:space="preserve">Según el artículo 30 del CV el vendedor, a más de entregar las mercaderías ha de transferir al comprador la propiedad o dominio de las mismas. El artículo 4 b) excluye de </w:t>
      </w:r>
      <w:smartTag w:uri="urn:schemas-microsoft-com:office:smarttags" w:element="PersonName">
        <w:smartTagPr>
          <w:attr w:name="ProductID" w:val="la CV"/>
        </w:smartTagPr>
        <w:r w:rsidR="002B2C86" w:rsidRPr="00E33A7C">
          <w:rPr>
            <w:rFonts w:ascii="Times New Roman" w:hAnsi="Times New Roman" w:cs="Times New Roman"/>
            <w:sz w:val="28"/>
            <w:szCs w:val="28"/>
            <w:lang w:val="es-MX"/>
          </w:rPr>
          <w:t>la CV</w:t>
        </w:r>
      </w:smartTag>
      <w:r w:rsidR="002B2C86" w:rsidRPr="00E33A7C">
        <w:rPr>
          <w:rFonts w:ascii="Times New Roman" w:hAnsi="Times New Roman" w:cs="Times New Roman"/>
          <w:sz w:val="28"/>
          <w:szCs w:val="28"/>
          <w:lang w:val="es-MX"/>
        </w:rPr>
        <w:t xml:space="preserve">, salvo pacto en contrario, </w:t>
      </w:r>
      <w:r w:rsidR="002B2C86" w:rsidRPr="00E33A7C">
        <w:rPr>
          <w:rFonts w:ascii="Times New Roman" w:hAnsi="Times New Roman" w:cs="Times New Roman"/>
          <w:i/>
          <w:sz w:val="28"/>
          <w:szCs w:val="28"/>
          <w:lang w:val="es-MX"/>
        </w:rPr>
        <w:t>los efectos que el contrato pueda producir sobre la propiedad de las mercaderías vendidas</w:t>
      </w:r>
      <w:r w:rsidR="002B2C86" w:rsidRPr="00E33A7C">
        <w:rPr>
          <w:rFonts w:ascii="Times New Roman" w:hAnsi="Times New Roman" w:cs="Times New Roman"/>
          <w:sz w:val="28"/>
          <w:szCs w:val="28"/>
          <w:lang w:val="es-MX"/>
        </w:rPr>
        <w:t xml:space="preserve">. </w:t>
      </w:r>
      <w:r w:rsidRPr="00E33A7C">
        <w:rPr>
          <w:rFonts w:ascii="Times New Roman" w:hAnsi="Times New Roman" w:cs="Times New Roman"/>
          <w:sz w:val="28"/>
          <w:szCs w:val="28"/>
          <w:lang w:val="es-MX"/>
        </w:rPr>
        <w:t xml:space="preserve">Se asume que el contrato </w:t>
      </w:r>
      <w:r w:rsidRPr="00E33A7C">
        <w:rPr>
          <w:rFonts w:ascii="Times New Roman" w:hAnsi="Times New Roman" w:cs="Times New Roman"/>
          <w:i/>
          <w:sz w:val="28"/>
          <w:szCs w:val="28"/>
          <w:lang w:val="es-MX"/>
        </w:rPr>
        <w:t>per se</w:t>
      </w:r>
      <w:r w:rsidRPr="00E33A7C">
        <w:rPr>
          <w:rFonts w:ascii="Times New Roman" w:hAnsi="Times New Roman" w:cs="Times New Roman"/>
          <w:sz w:val="28"/>
          <w:szCs w:val="28"/>
          <w:lang w:val="es-MX"/>
        </w:rPr>
        <w:t>, no transmite la propiedad y que tal cuestión constituye una de las obligaciones del vendedor. La transferencia no es objeto de regulaci</w:t>
      </w:r>
      <w:r w:rsidR="00A37CE2" w:rsidRPr="00E33A7C">
        <w:rPr>
          <w:rFonts w:ascii="Times New Roman" w:hAnsi="Times New Roman" w:cs="Times New Roman"/>
          <w:sz w:val="28"/>
          <w:szCs w:val="28"/>
          <w:lang w:val="es-MX"/>
        </w:rPr>
        <w:t xml:space="preserve">ón por </w:t>
      </w:r>
      <w:smartTag w:uri="urn:schemas-microsoft-com:office:smarttags" w:element="PersonName">
        <w:smartTagPr>
          <w:attr w:name="ProductID" w:val="la CV"/>
        </w:smartTagPr>
        <w:r w:rsidR="00A37CE2" w:rsidRPr="00E33A7C">
          <w:rPr>
            <w:rFonts w:ascii="Times New Roman" w:hAnsi="Times New Roman" w:cs="Times New Roman"/>
            <w:sz w:val="28"/>
            <w:szCs w:val="28"/>
            <w:lang w:val="es-MX"/>
          </w:rPr>
          <w:t>la</w:t>
        </w:r>
        <w:r w:rsidRPr="00E33A7C">
          <w:rPr>
            <w:rFonts w:ascii="Times New Roman" w:hAnsi="Times New Roman" w:cs="Times New Roman"/>
            <w:sz w:val="28"/>
            <w:szCs w:val="28"/>
            <w:lang w:val="es-MX"/>
          </w:rPr>
          <w:t xml:space="preserve"> CV</w:t>
        </w:r>
      </w:smartTag>
      <w:r w:rsidRPr="00E33A7C">
        <w:rPr>
          <w:rFonts w:ascii="Times New Roman" w:hAnsi="Times New Roman" w:cs="Times New Roman"/>
          <w:sz w:val="28"/>
          <w:szCs w:val="28"/>
          <w:lang w:val="es-MX"/>
        </w:rPr>
        <w:t>, a pesar de lo cual, no es ajena al contrato de compraventa internacional de mercaderías. En sistemas en los cuales el perfeccionamiento del contrato conlleva la transferencia de la propiedad, podría sustentarse, al menos teóricamente que</w:t>
      </w:r>
      <w:r w:rsidR="00A37CE2" w:rsidRPr="00E33A7C">
        <w:rPr>
          <w:rFonts w:ascii="Times New Roman" w:hAnsi="Times New Roman" w:cs="Times New Roman"/>
          <w:sz w:val="28"/>
          <w:szCs w:val="28"/>
          <w:lang w:val="es-MX"/>
        </w:rPr>
        <w:t xml:space="preserve"> tal efecto es concomitante y no ulterior obligación del vendedor. Es obvio entender que la falta de transferencia de la propiedad que se traduce en la puesta de las mercaderías a disposición del comprador habilita a este último a considerar que ha ocurrido incumplimiento.</w:t>
      </w:r>
    </w:p>
    <w:p w:rsidR="00A37CE2" w:rsidRPr="00E33A7C" w:rsidRDefault="00A37CE2" w:rsidP="009E5638">
      <w:pPr>
        <w:spacing w:line="360" w:lineRule="auto"/>
        <w:ind w:left="357"/>
        <w:jc w:val="both"/>
        <w:rPr>
          <w:rFonts w:ascii="Times New Roman" w:hAnsi="Times New Roman" w:cs="Times New Roman"/>
          <w:sz w:val="28"/>
          <w:szCs w:val="28"/>
          <w:lang w:val="es-MX"/>
        </w:rPr>
      </w:pPr>
    </w:p>
    <w:p w:rsidR="00A37CE2" w:rsidRPr="00E33A7C" w:rsidRDefault="002A11A9" w:rsidP="009E5638">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Respecto de la falta de aplicación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 la transmisión de la propiedad, Calvo Caravaca afirma que este tema debe ser resuelto por la legislación nacional  que corresponda de acuerdo a las normas de derecho internacional privado. </w:t>
      </w:r>
      <w:r w:rsidR="002D274D" w:rsidRPr="00E33A7C">
        <w:rPr>
          <w:rFonts w:ascii="Times New Roman" w:hAnsi="Times New Roman" w:cs="Times New Roman"/>
          <w:sz w:val="28"/>
          <w:szCs w:val="28"/>
          <w:lang w:val="es-MX"/>
        </w:rPr>
        <w:t>Añade que es posible pactar que la propiedad no se transfiera hasta que se haya satisfecho íntegramente el precio, siendo aplicable al intento la figura de la venta con reserva de dominio. Se refiere, además, a la venta de cosa ajena sujeta a la entrega y transferencia denla propiedad sin que exista embarazo alguno para el adquirente de las mercaderías</w:t>
      </w:r>
      <w:r w:rsidR="00DB240A" w:rsidRPr="00E33A7C">
        <w:rPr>
          <w:rStyle w:val="FootnoteReference"/>
          <w:rFonts w:ascii="Times New Roman" w:hAnsi="Times New Roman" w:cs="Times New Roman"/>
          <w:sz w:val="28"/>
          <w:szCs w:val="28"/>
          <w:lang w:val="es-MX"/>
        </w:rPr>
        <w:footnoteReference w:id="38"/>
      </w:r>
      <w:r w:rsidR="00DB240A" w:rsidRPr="00E33A7C">
        <w:rPr>
          <w:rFonts w:ascii="Times New Roman" w:hAnsi="Times New Roman" w:cs="Times New Roman"/>
          <w:sz w:val="28"/>
          <w:szCs w:val="28"/>
          <w:lang w:val="es-MX"/>
        </w:rPr>
        <w:t>.</w:t>
      </w:r>
      <w:r w:rsidR="002D274D" w:rsidRPr="00E33A7C">
        <w:rPr>
          <w:rFonts w:ascii="Times New Roman" w:hAnsi="Times New Roman" w:cs="Times New Roman"/>
          <w:sz w:val="28"/>
          <w:szCs w:val="28"/>
          <w:lang w:val="es-MX"/>
        </w:rPr>
        <w:t xml:space="preserve"> </w:t>
      </w:r>
    </w:p>
    <w:p w:rsidR="007847C4" w:rsidRPr="00E33A7C" w:rsidRDefault="007847C4" w:rsidP="00687E2E">
      <w:pPr>
        <w:spacing w:line="360" w:lineRule="auto"/>
        <w:ind w:left="357"/>
        <w:jc w:val="both"/>
        <w:rPr>
          <w:rFonts w:ascii="Times New Roman" w:hAnsi="Times New Roman" w:cs="Times New Roman"/>
          <w:sz w:val="28"/>
          <w:szCs w:val="28"/>
          <w:lang w:val="es-MX"/>
        </w:rPr>
      </w:pPr>
    </w:p>
    <w:p w:rsidR="008D728E" w:rsidRPr="00E33A7C" w:rsidRDefault="00DB240A"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7.4. El vendedor debe entregar los documentos del caso al comprador en el momento, lugar y forma fijados en el contrato. Los documentos,</w:t>
      </w:r>
      <w:r w:rsidR="008D728E" w:rsidRPr="00E33A7C">
        <w:rPr>
          <w:rFonts w:ascii="Times New Roman" w:hAnsi="Times New Roman" w:cs="Times New Roman"/>
          <w:sz w:val="28"/>
          <w:szCs w:val="28"/>
          <w:lang w:val="es-MX"/>
        </w:rPr>
        <w:t xml:space="preserve"> que </w:t>
      </w:r>
      <w:r w:rsidRPr="00E33A7C">
        <w:rPr>
          <w:rFonts w:ascii="Times New Roman" w:hAnsi="Times New Roman" w:cs="Times New Roman"/>
          <w:sz w:val="28"/>
          <w:szCs w:val="28"/>
          <w:lang w:val="es-MX"/>
        </w:rPr>
        <w:t xml:space="preserve"> no</w:t>
      </w:r>
      <w:r w:rsidR="008D728E" w:rsidRPr="00E33A7C">
        <w:rPr>
          <w:rFonts w:ascii="Times New Roman" w:hAnsi="Times New Roman" w:cs="Times New Roman"/>
          <w:sz w:val="28"/>
          <w:szCs w:val="28"/>
          <w:lang w:val="es-MX"/>
        </w:rPr>
        <w:t xml:space="preserve"> se encuentran </w:t>
      </w:r>
      <w:r w:rsidRPr="00E33A7C">
        <w:rPr>
          <w:rFonts w:ascii="Times New Roman" w:hAnsi="Times New Roman" w:cs="Times New Roman"/>
          <w:sz w:val="28"/>
          <w:szCs w:val="28"/>
          <w:lang w:val="es-MX"/>
        </w:rPr>
        <w:t xml:space="preserve">especificados en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se han de referir a la propiedad o al transporte de las mercaderías, tales  como conocimientos de embarque, carta de porte</w:t>
      </w:r>
      <w:r w:rsidRPr="00E33A7C">
        <w:rPr>
          <w:rFonts w:ascii="Times New Roman" w:hAnsi="Times New Roman" w:cs="Times New Roman"/>
          <w:i/>
          <w:sz w:val="28"/>
          <w:szCs w:val="28"/>
          <w:lang w:val="es-MX"/>
        </w:rPr>
        <w:t>, bill of landing</w:t>
      </w:r>
      <w:r w:rsidR="008D728E" w:rsidRPr="00E33A7C">
        <w:rPr>
          <w:rFonts w:ascii="Times New Roman" w:hAnsi="Times New Roman" w:cs="Times New Roman"/>
          <w:sz w:val="28"/>
          <w:szCs w:val="28"/>
          <w:lang w:val="es-MX"/>
        </w:rPr>
        <w:t>.</w:t>
      </w:r>
      <w:r w:rsidR="00FC5CA4" w:rsidRPr="00E33A7C">
        <w:rPr>
          <w:rFonts w:ascii="Times New Roman" w:hAnsi="Times New Roman" w:cs="Times New Roman"/>
          <w:sz w:val="28"/>
          <w:szCs w:val="28"/>
          <w:lang w:val="es-MX"/>
        </w:rPr>
        <w:t xml:space="preserve"> Los conocimientos de embarque o similares pueden tener el carácter de negociables. Los documentos pueden consistir en pólizas de seguro.</w:t>
      </w:r>
      <w:r w:rsidR="00BA5965" w:rsidRPr="00E33A7C">
        <w:rPr>
          <w:rFonts w:ascii="Times New Roman" w:hAnsi="Times New Roman" w:cs="Times New Roman"/>
          <w:sz w:val="28"/>
          <w:szCs w:val="28"/>
          <w:lang w:val="es-MX"/>
        </w:rPr>
        <w:t xml:space="preserve"> Puede ser el caso que exista obligación de entregar  manuales e instructivos.</w:t>
      </w:r>
    </w:p>
    <w:p w:rsidR="00FC5CA4" w:rsidRPr="00E33A7C" w:rsidRDefault="00FC5CA4" w:rsidP="00687E2E">
      <w:pPr>
        <w:spacing w:line="360" w:lineRule="auto"/>
        <w:ind w:left="357"/>
        <w:jc w:val="both"/>
        <w:rPr>
          <w:rFonts w:ascii="Times New Roman" w:hAnsi="Times New Roman" w:cs="Times New Roman"/>
          <w:sz w:val="28"/>
          <w:szCs w:val="28"/>
          <w:lang w:val="es-MX"/>
        </w:rPr>
      </w:pPr>
    </w:p>
    <w:p w:rsidR="00FC5CA4" w:rsidRPr="00E33A7C" w:rsidRDefault="00FC5CA4"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Según el artículo 34, en caso de entrega anticipada el vendedor podrá, hasta el momento fijado para la entrega, subsanar cualquier falta de conformidad de los documentos si el ejercicio de ese derecho no ocasiona al comprador inconvenientes ni gastos excesivos.</w:t>
      </w:r>
    </w:p>
    <w:p w:rsidR="00BA5965" w:rsidRPr="00E33A7C" w:rsidRDefault="00BA5965" w:rsidP="00687E2E">
      <w:pPr>
        <w:spacing w:line="360" w:lineRule="auto"/>
        <w:ind w:left="357"/>
        <w:jc w:val="both"/>
        <w:rPr>
          <w:rFonts w:ascii="Times New Roman" w:hAnsi="Times New Roman" w:cs="Times New Roman"/>
          <w:sz w:val="28"/>
          <w:szCs w:val="28"/>
          <w:lang w:val="es-MX"/>
        </w:rPr>
      </w:pPr>
    </w:p>
    <w:p w:rsidR="00BA5965" w:rsidRPr="00E33A7C" w:rsidRDefault="00BA5965"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Según Garro y Zuppi </w:t>
      </w:r>
      <w:r w:rsidRPr="00E33A7C">
        <w:rPr>
          <w:rFonts w:ascii="Times New Roman" w:hAnsi="Times New Roman" w:cs="Times New Roman"/>
          <w:i/>
          <w:sz w:val="28"/>
          <w:szCs w:val="28"/>
          <w:lang w:val="es-MX"/>
        </w:rPr>
        <w:t>la obligaci</w:t>
      </w:r>
      <w:r w:rsidR="007F6F8F" w:rsidRPr="00E33A7C">
        <w:rPr>
          <w:rFonts w:ascii="Times New Roman" w:hAnsi="Times New Roman" w:cs="Times New Roman"/>
          <w:i/>
          <w:sz w:val="28"/>
          <w:szCs w:val="28"/>
          <w:lang w:val="es-MX"/>
        </w:rPr>
        <w:t xml:space="preserve">ón de entregar documentos </w:t>
      </w:r>
      <w:r w:rsidRPr="00E33A7C">
        <w:rPr>
          <w:rFonts w:ascii="Times New Roman" w:hAnsi="Times New Roman" w:cs="Times New Roman"/>
          <w:i/>
          <w:sz w:val="28"/>
          <w:szCs w:val="28"/>
          <w:lang w:val="es-MX"/>
        </w:rPr>
        <w:t>es accesoria que sigue la suerte de la principal.</w:t>
      </w:r>
      <w:r w:rsidR="007F6F8F" w:rsidRPr="00E33A7C">
        <w:rPr>
          <w:rFonts w:ascii="Times New Roman" w:hAnsi="Times New Roman" w:cs="Times New Roman"/>
          <w:i/>
          <w:sz w:val="28"/>
          <w:szCs w:val="28"/>
          <w:lang w:val="es-MX"/>
        </w:rPr>
        <w:t xml:space="preserve"> Anotan que, sin embargo, que en caso de que los documentos sean necesarios para que el comprador pueda ejercer sus derechos sobre la cosa vendida, el incumplimiento por parte del vendedor de la obligación de entregar esos documentos, puede ser considerada como “esencial”, dando lugar a la resolución del contrato</w:t>
      </w:r>
      <w:r w:rsidR="007F6F8F" w:rsidRPr="00E33A7C">
        <w:rPr>
          <w:rFonts w:ascii="Times New Roman" w:hAnsi="Times New Roman" w:cs="Times New Roman"/>
          <w:sz w:val="28"/>
          <w:szCs w:val="28"/>
          <w:lang w:val="es-MX"/>
        </w:rPr>
        <w:t>. Además alude al caso de la falta de entrega de documentos que  impiden que el comprador haga uso apropiado de las mercaderías que produce los efectos de entrega no conforme al contrato</w:t>
      </w:r>
      <w:r w:rsidR="007F6F8F" w:rsidRPr="00E33A7C">
        <w:rPr>
          <w:rStyle w:val="FootnoteReference"/>
          <w:rFonts w:ascii="Times New Roman" w:hAnsi="Times New Roman" w:cs="Times New Roman"/>
          <w:sz w:val="28"/>
          <w:szCs w:val="28"/>
          <w:lang w:val="es-MX"/>
        </w:rPr>
        <w:footnoteReference w:id="39"/>
      </w:r>
      <w:r w:rsidR="007F6F8F" w:rsidRPr="00E33A7C">
        <w:rPr>
          <w:rFonts w:ascii="Times New Roman" w:hAnsi="Times New Roman" w:cs="Times New Roman"/>
          <w:sz w:val="28"/>
          <w:szCs w:val="28"/>
          <w:lang w:val="es-MX"/>
        </w:rPr>
        <w:t>.</w:t>
      </w:r>
    </w:p>
    <w:p w:rsidR="000A18DB" w:rsidRPr="00E33A7C" w:rsidRDefault="000A18DB" w:rsidP="00687E2E">
      <w:pPr>
        <w:spacing w:line="360" w:lineRule="auto"/>
        <w:ind w:left="357"/>
        <w:jc w:val="both"/>
        <w:rPr>
          <w:rFonts w:ascii="Times New Roman" w:hAnsi="Times New Roman" w:cs="Times New Roman"/>
          <w:sz w:val="28"/>
          <w:szCs w:val="28"/>
          <w:lang w:val="es-MX"/>
        </w:rPr>
      </w:pPr>
    </w:p>
    <w:p w:rsidR="000A18DB" w:rsidRPr="00E33A7C" w:rsidRDefault="000A18DB"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7.5. Al comprador corresponde el pago del precio convenido por las mercaderías a cuyo efecto, ordinariamente no hace falta requerimiento o </w:t>
      </w:r>
      <w:r w:rsidRPr="00E33A7C">
        <w:rPr>
          <w:rFonts w:ascii="Times New Roman" w:hAnsi="Times New Roman" w:cs="Times New Roman"/>
          <w:sz w:val="28"/>
          <w:szCs w:val="28"/>
          <w:lang w:val="es-MX"/>
        </w:rPr>
        <w:lastRenderedPageBreak/>
        <w:t xml:space="preserve">formalidad alguna. Además le toca recibir las mercaderías en las condiciones establecidas en el contrato y en </w:t>
      </w:r>
      <w:smartTag w:uri="urn:schemas-microsoft-com:office:smarttags" w:element="PersonName">
        <w:smartTagPr>
          <w:attr w:name="ProductID" w:val="la CV. As￭"/>
        </w:smartTag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Así</w:t>
        </w:r>
      </w:smartTag>
      <w:r w:rsidRPr="00E33A7C">
        <w:rPr>
          <w:rFonts w:ascii="Times New Roman" w:hAnsi="Times New Roman" w:cs="Times New Roman"/>
          <w:sz w:val="28"/>
          <w:szCs w:val="28"/>
          <w:lang w:val="es-MX"/>
        </w:rPr>
        <w:t xml:space="preserve"> lo previene el artículo 53 de la misa.</w:t>
      </w:r>
    </w:p>
    <w:p w:rsidR="000A18DB" w:rsidRPr="00E33A7C" w:rsidRDefault="000A18DB" w:rsidP="00687E2E">
      <w:pPr>
        <w:spacing w:line="360" w:lineRule="auto"/>
        <w:ind w:left="357"/>
        <w:jc w:val="both"/>
        <w:rPr>
          <w:rFonts w:ascii="Times New Roman" w:hAnsi="Times New Roman" w:cs="Times New Roman"/>
          <w:sz w:val="28"/>
          <w:szCs w:val="28"/>
          <w:lang w:val="es-MX"/>
        </w:rPr>
      </w:pPr>
    </w:p>
    <w:p w:rsidR="00D73082" w:rsidRPr="00E33A7C" w:rsidRDefault="000A18DB"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El precio ha de fijarse en el contrato por mutuo acuerdo de las partes, ya sea de modo expreso o implícito. Cuando se haga referencia al peso, se ha de entender el neto, criterio que sirve para despejar dudas sobre este particular, según lo contemplado en el artículo</w:t>
      </w:r>
      <w:r w:rsidR="00743C8D" w:rsidRPr="00E33A7C">
        <w:rPr>
          <w:rFonts w:ascii="Times New Roman" w:hAnsi="Times New Roman" w:cs="Times New Roman"/>
          <w:sz w:val="28"/>
          <w:szCs w:val="28"/>
          <w:lang w:val="es-MX"/>
        </w:rPr>
        <w:t xml:space="preserve"> 56. Si no se ha fijado el precio expresa o tácitamente  se entiende aquél cobrado en el momento de la celebración por mercaderías vendidas en circunstancias similares en el tráfico mercantil de que se trate</w:t>
      </w:r>
      <w:r w:rsidR="00575F3D" w:rsidRPr="00E33A7C">
        <w:rPr>
          <w:rFonts w:ascii="Times New Roman" w:hAnsi="Times New Roman" w:cs="Times New Roman"/>
          <w:sz w:val="28"/>
          <w:szCs w:val="28"/>
          <w:lang w:val="es-MX"/>
        </w:rPr>
        <w:t xml:space="preserve">. En la sentencia de 10 de noviembre de 1994,  el Tribunal  Supremo austriaco </w:t>
      </w:r>
      <w:r w:rsidR="00D73082" w:rsidRPr="00E33A7C">
        <w:rPr>
          <w:rFonts w:ascii="Times New Roman" w:hAnsi="Times New Roman" w:cs="Times New Roman"/>
          <w:sz w:val="28"/>
          <w:szCs w:val="28"/>
          <w:lang w:val="es-MX"/>
        </w:rPr>
        <w:t>se pronunció del siguiente modo: -</w:t>
      </w:r>
      <w:r w:rsidR="00575F3D" w:rsidRPr="00E33A7C">
        <w:rPr>
          <w:rFonts w:ascii="Times New Roman" w:hAnsi="Times New Roman" w:cs="Times New Roman"/>
          <w:sz w:val="28"/>
          <w:szCs w:val="28"/>
          <w:lang w:val="es-MX"/>
        </w:rPr>
        <w:t xml:space="preserve"> </w:t>
      </w:r>
    </w:p>
    <w:p w:rsidR="00D73082" w:rsidRPr="00E33A7C" w:rsidRDefault="00D73082" w:rsidP="00687E2E">
      <w:pPr>
        <w:spacing w:line="360" w:lineRule="auto"/>
        <w:ind w:left="357"/>
        <w:jc w:val="both"/>
        <w:rPr>
          <w:rFonts w:ascii="Times New Roman" w:hAnsi="Times New Roman" w:cs="Times New Roman"/>
          <w:i/>
          <w:sz w:val="28"/>
          <w:szCs w:val="28"/>
          <w:lang w:val="es-MX"/>
        </w:rPr>
      </w:pPr>
    </w:p>
    <w:p w:rsidR="00CE4C9A" w:rsidRPr="00E33A7C" w:rsidRDefault="00575F3D" w:rsidP="00687E2E">
      <w:pPr>
        <w:spacing w:line="360" w:lineRule="auto"/>
        <w:ind w:left="357"/>
        <w:jc w:val="both"/>
        <w:rPr>
          <w:rFonts w:ascii="Times New Roman" w:hAnsi="Times New Roman" w:cs="Times New Roman"/>
          <w:i/>
          <w:sz w:val="28"/>
          <w:szCs w:val="28"/>
          <w:lang w:val="es-MX"/>
        </w:rPr>
      </w:pPr>
      <w:r w:rsidRPr="00A20492">
        <w:rPr>
          <w:rFonts w:ascii="Times New Roman" w:hAnsi="Times New Roman" w:cs="Times New Roman"/>
          <w:sz w:val="20"/>
          <w:szCs w:val="20"/>
          <w:lang w:val="es-MX"/>
        </w:rPr>
        <w:t>El asunto que dio lugar a la misma versaba sobre el pedido formulado por un comprado</w:t>
      </w:r>
      <w:r w:rsidR="00D73082" w:rsidRPr="00A20492">
        <w:rPr>
          <w:rFonts w:ascii="Times New Roman" w:hAnsi="Times New Roman" w:cs="Times New Roman"/>
          <w:sz w:val="20"/>
          <w:szCs w:val="20"/>
          <w:lang w:val="es-MX"/>
        </w:rPr>
        <w:t>r</w:t>
      </w:r>
      <w:r w:rsidRPr="00A20492">
        <w:rPr>
          <w:rFonts w:ascii="Times New Roman" w:hAnsi="Times New Roman" w:cs="Times New Roman"/>
          <w:sz w:val="20"/>
          <w:szCs w:val="20"/>
          <w:lang w:val="es-MX"/>
        </w:rPr>
        <w:t xml:space="preserve"> austriaco a un vendedor alemán, de un gran número de pieles de chinchilla de calidad mediana o superior, a un precio de </w:t>
      </w:r>
      <w:smartTag w:uri="urn:schemas-microsoft-com:office:smarttags" w:element="metricconverter">
        <w:smartTagPr>
          <w:attr w:name="ProductID" w:val="35 a"/>
        </w:smartTagPr>
        <w:r w:rsidRPr="00A20492">
          <w:rPr>
            <w:rFonts w:ascii="Times New Roman" w:hAnsi="Times New Roman" w:cs="Times New Roman"/>
            <w:sz w:val="20"/>
            <w:szCs w:val="20"/>
            <w:lang w:val="es-MX"/>
          </w:rPr>
          <w:t>35 a</w:t>
        </w:r>
      </w:smartTag>
      <w:r w:rsidRPr="00A20492">
        <w:rPr>
          <w:rFonts w:ascii="Times New Roman" w:hAnsi="Times New Roman" w:cs="Times New Roman"/>
          <w:sz w:val="20"/>
          <w:szCs w:val="20"/>
          <w:lang w:val="es-MX"/>
        </w:rPr>
        <w:t xml:space="preserve"> 65 marcos alemanes por pieza. El vendedor alemán entregó 249 pieles. Iniciado el pleito por inadecuación</w:t>
      </w:r>
      <w:r w:rsidR="00D73082" w:rsidRPr="00A20492">
        <w:rPr>
          <w:rFonts w:ascii="Times New Roman" w:hAnsi="Times New Roman" w:cs="Times New Roman"/>
          <w:sz w:val="20"/>
          <w:szCs w:val="20"/>
          <w:lang w:val="es-MX"/>
        </w:rPr>
        <w:t xml:space="preserve"> de las pieles entregadas con las especificaciones del contrato, el Tribunal de Primera Instancia consideró razonable fijar el precio de cada piel en la cantidad de 50 marcos alemanes, dado que en el mercado éstas no alcanzaban a un valor superior a los 60 marcos. Este precio no fue impugnado por las partes en las instancias posteriores, siendo respetado tanto por el Tribunal de Apelación como por el Tribunal Supremo</w:t>
      </w:r>
      <w:r w:rsidR="00D73082" w:rsidRPr="00E33A7C">
        <w:rPr>
          <w:rStyle w:val="FootnoteReference"/>
          <w:rFonts w:ascii="Times New Roman" w:hAnsi="Times New Roman" w:cs="Times New Roman"/>
          <w:i/>
          <w:sz w:val="28"/>
          <w:szCs w:val="28"/>
          <w:lang w:val="es-MX"/>
        </w:rPr>
        <w:footnoteReference w:id="40"/>
      </w:r>
    </w:p>
    <w:p w:rsidR="00CE4C9A" w:rsidRPr="00E33A7C" w:rsidRDefault="00CE4C9A" w:rsidP="00687E2E">
      <w:pPr>
        <w:spacing w:line="360" w:lineRule="auto"/>
        <w:ind w:left="357"/>
        <w:jc w:val="both"/>
        <w:rPr>
          <w:rFonts w:ascii="Times New Roman" w:hAnsi="Times New Roman" w:cs="Times New Roman"/>
          <w:i/>
          <w:sz w:val="28"/>
          <w:szCs w:val="28"/>
          <w:lang w:val="es-MX"/>
        </w:rPr>
      </w:pPr>
    </w:p>
    <w:p w:rsidR="00117418" w:rsidRPr="00E33A7C" w:rsidRDefault="00CE4C9A"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artículo 14 de </w:t>
      </w: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exige que para que la propuesta sea válida, de señalarse el precio o la forma de determinarlo. Tal norma no riñe con el artículo 55 que contempla la posibilidad de que el precio pueda llegar a ser el del mercado, por cuanto tal disposición es aplicable a la oferta y no al contrato</w:t>
      </w:r>
      <w:r w:rsidR="00117418" w:rsidRPr="00E33A7C">
        <w:rPr>
          <w:rFonts w:ascii="Times New Roman" w:hAnsi="Times New Roman" w:cs="Times New Roman"/>
          <w:sz w:val="28"/>
          <w:szCs w:val="28"/>
          <w:lang w:val="es-MX"/>
        </w:rPr>
        <w:t>. Es la modalidad denominada de precio abierto de uso frecuente en las prácticas mercantiles.</w:t>
      </w:r>
    </w:p>
    <w:p w:rsidR="00117418" w:rsidRPr="00E33A7C" w:rsidRDefault="00117418" w:rsidP="00687E2E">
      <w:pPr>
        <w:spacing w:line="360" w:lineRule="auto"/>
        <w:ind w:left="357"/>
        <w:jc w:val="both"/>
        <w:rPr>
          <w:rFonts w:ascii="Times New Roman" w:hAnsi="Times New Roman" w:cs="Times New Roman"/>
          <w:sz w:val="28"/>
          <w:szCs w:val="28"/>
          <w:lang w:val="es-MX"/>
        </w:rPr>
      </w:pPr>
    </w:p>
    <w:p w:rsidR="00EC4789" w:rsidRPr="00E33A7C" w:rsidRDefault="000071F5"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lastRenderedPageBreak/>
        <w:t>Las medidas y requisitos indicados en el artículo 54 pueden ser de variada naturaleza de acuerdo a la índole del contrato. Pueden consistir en la expedición de pagarés, la aceptación de letras de cambio, la constitución de garantías o la contratación de créditos bancarios. También los contratos de transporte o de seguros y la obtención de autorizaciones administrativas en conformidad a la legislación interna.</w:t>
      </w:r>
      <w:r w:rsidR="007077F7">
        <w:rPr>
          <w:rFonts w:ascii="Times New Roman" w:hAnsi="Times New Roman" w:cs="Times New Roman"/>
          <w:sz w:val="28"/>
          <w:szCs w:val="28"/>
          <w:lang w:val="es-MX"/>
        </w:rPr>
        <w:t xml:space="preserve"> Sobre esta cuestión vale referir a los Incoterms aludidos en el ítem 7.1. de este trabajo</w:t>
      </w:r>
      <w:r w:rsidRPr="00E33A7C">
        <w:rPr>
          <w:rFonts w:ascii="Times New Roman" w:hAnsi="Times New Roman" w:cs="Times New Roman"/>
          <w:sz w:val="28"/>
          <w:szCs w:val="28"/>
          <w:lang w:val="es-MX"/>
        </w:rPr>
        <w:t xml:space="preserve"> Respecto de la moneda a utilizar, nada dice </w:t>
      </w:r>
      <w:smartTag w:uri="urn:schemas-microsoft-com:office:smarttags" w:element="PersonName">
        <w:smartTagPr>
          <w:attr w:name="ProductID" w:val="la CV. Habr￭a"/>
        </w:smartTag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Habría</w:t>
        </w:r>
      </w:smartTag>
      <w:r w:rsidRPr="00E33A7C">
        <w:rPr>
          <w:rFonts w:ascii="Times New Roman" w:hAnsi="Times New Roman" w:cs="Times New Roman"/>
          <w:sz w:val="28"/>
          <w:szCs w:val="28"/>
          <w:lang w:val="es-MX"/>
        </w:rPr>
        <w:t xml:space="preserve"> que estar a lo convenido en el contrato, a los usos y costumbres y principalmente a las normas de derecho interno. Bien puede ocurrir que se convenga el pago del precio en una determinada divisa, mas, puede </w:t>
      </w:r>
      <w:r w:rsidR="00EC4789" w:rsidRPr="00E33A7C">
        <w:rPr>
          <w:rFonts w:ascii="Times New Roman" w:hAnsi="Times New Roman" w:cs="Times New Roman"/>
          <w:sz w:val="28"/>
          <w:szCs w:val="28"/>
          <w:lang w:val="es-MX"/>
        </w:rPr>
        <w:t xml:space="preserve">suceder </w:t>
      </w:r>
      <w:r w:rsidRPr="00E33A7C">
        <w:rPr>
          <w:rFonts w:ascii="Times New Roman" w:hAnsi="Times New Roman" w:cs="Times New Roman"/>
          <w:sz w:val="28"/>
          <w:szCs w:val="28"/>
          <w:lang w:val="es-MX"/>
        </w:rPr>
        <w:t>que por el poder liberatorio de la moneda nacional se</w:t>
      </w:r>
      <w:r w:rsidR="00EC4789" w:rsidRPr="00E33A7C">
        <w:rPr>
          <w:rFonts w:ascii="Times New Roman" w:hAnsi="Times New Roman" w:cs="Times New Roman"/>
          <w:sz w:val="28"/>
          <w:szCs w:val="28"/>
          <w:lang w:val="es-MX"/>
        </w:rPr>
        <w:t xml:space="preserve"> </w:t>
      </w:r>
      <w:r w:rsidRPr="00E33A7C">
        <w:rPr>
          <w:rFonts w:ascii="Times New Roman" w:hAnsi="Times New Roman" w:cs="Times New Roman"/>
          <w:sz w:val="28"/>
          <w:szCs w:val="28"/>
          <w:lang w:val="es-MX"/>
        </w:rPr>
        <w:t xml:space="preserve"> cumpla la obligación e</w:t>
      </w:r>
      <w:r w:rsidR="00EC4789" w:rsidRPr="00E33A7C">
        <w:rPr>
          <w:rFonts w:ascii="Times New Roman" w:hAnsi="Times New Roman" w:cs="Times New Roman"/>
          <w:sz w:val="28"/>
          <w:szCs w:val="28"/>
          <w:lang w:val="es-MX"/>
        </w:rPr>
        <w:t>n otra moneda. El tema escapa a la voluntad de las partes, pero debería prevérselo. Habría que lograr las equivalencias más adecuadas. Ello no siempre es fácil, pues, en muchos países existen mercados monetarios oficiales o coexisten estos y el mercado libre, aplicados a diferentes propósitos.</w:t>
      </w:r>
    </w:p>
    <w:p w:rsidR="00EC4789" w:rsidRPr="00E33A7C" w:rsidRDefault="00EC4789" w:rsidP="00687E2E">
      <w:pPr>
        <w:spacing w:line="360" w:lineRule="auto"/>
        <w:ind w:left="357"/>
        <w:jc w:val="both"/>
        <w:rPr>
          <w:rFonts w:ascii="Times New Roman" w:hAnsi="Times New Roman" w:cs="Times New Roman"/>
          <w:sz w:val="28"/>
          <w:szCs w:val="28"/>
          <w:lang w:val="es-MX"/>
        </w:rPr>
      </w:pPr>
    </w:p>
    <w:p w:rsidR="00EC4789" w:rsidRPr="00E33A7C" w:rsidRDefault="00EC4789"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El lugar del pago del precio se fija contractualmente o en subsidio por lo que estatuyen los artículos 57 y 58 de </w:t>
      </w:r>
      <w:smartTag w:uri="urn:schemas-microsoft-com:office:smarttags" w:element="PersonName">
        <w:smartTagPr>
          <w:attr w:name="ProductID" w:val="la CV. El"/>
        </w:smartTag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El</w:t>
        </w:r>
      </w:smartTag>
      <w:r w:rsidRPr="00E33A7C">
        <w:rPr>
          <w:rFonts w:ascii="Times New Roman" w:hAnsi="Times New Roman" w:cs="Times New Roman"/>
          <w:sz w:val="28"/>
          <w:szCs w:val="28"/>
          <w:lang w:val="es-MX"/>
        </w:rPr>
        <w:t xml:space="preserve"> pago deberá hacerse en el lugar en que se entreguen las mercaderías</w:t>
      </w:r>
      <w:r w:rsidR="004F45D9" w:rsidRPr="00E33A7C">
        <w:rPr>
          <w:rFonts w:ascii="Times New Roman" w:hAnsi="Times New Roman" w:cs="Times New Roman"/>
          <w:sz w:val="28"/>
          <w:szCs w:val="28"/>
          <w:lang w:val="es-MX"/>
        </w:rPr>
        <w:t xml:space="preserve"> o los documentos. Adame Goddard señala que en el comercio internacional es cada vez más frecuente  acordar el pago contra la entrega de documentos, de una carta de crédito o crédito documentario o de las mercaderías. En el pago contra documentos el pago lo realiza un Banco a nombre del vendedor. Entonces el pago de efectúa ordinariamente en el lugar del establecimiento del comprador, los costos</w:t>
      </w:r>
      <w:r w:rsidR="008566D1" w:rsidRPr="00E33A7C">
        <w:rPr>
          <w:rFonts w:ascii="Times New Roman" w:hAnsi="Times New Roman" w:cs="Times New Roman"/>
          <w:sz w:val="28"/>
          <w:szCs w:val="28"/>
          <w:lang w:val="es-MX"/>
        </w:rPr>
        <w:t xml:space="preserve"> y riesgos de la operación documentaria suelen correr a cargo del vendedor y las relaciones entre éste y el banco se suelen regular  por </w:t>
      </w:r>
      <w:smartTag w:uri="urn:schemas-microsoft-com:office:smarttags" w:element="PersonName">
        <w:smartTagPr>
          <w:attr w:name="ProductID" w:val="la Uniform Rules"/>
        </w:smartTagPr>
        <w:r w:rsidR="008566D1" w:rsidRPr="00E33A7C">
          <w:rPr>
            <w:rFonts w:ascii="Times New Roman" w:hAnsi="Times New Roman" w:cs="Times New Roman"/>
            <w:sz w:val="28"/>
            <w:szCs w:val="28"/>
            <w:lang w:val="es-MX"/>
          </w:rPr>
          <w:t xml:space="preserve">la </w:t>
        </w:r>
        <w:r w:rsidR="008566D1" w:rsidRPr="00E33A7C">
          <w:rPr>
            <w:rFonts w:ascii="Times New Roman" w:hAnsi="Times New Roman" w:cs="Times New Roman"/>
            <w:i/>
            <w:sz w:val="28"/>
            <w:szCs w:val="28"/>
            <w:lang w:val="es-MX"/>
          </w:rPr>
          <w:t>Uniform Rules</w:t>
        </w:r>
      </w:smartTag>
      <w:r w:rsidR="008566D1" w:rsidRPr="00E33A7C">
        <w:rPr>
          <w:rFonts w:ascii="Times New Roman" w:hAnsi="Times New Roman" w:cs="Times New Roman"/>
          <w:i/>
          <w:sz w:val="28"/>
          <w:szCs w:val="28"/>
          <w:lang w:val="es-MX"/>
        </w:rPr>
        <w:t xml:space="preserve"> for Collections</w:t>
      </w:r>
      <w:r w:rsidR="008566D1" w:rsidRPr="00E33A7C">
        <w:rPr>
          <w:rFonts w:ascii="Times New Roman" w:hAnsi="Times New Roman" w:cs="Times New Roman"/>
          <w:sz w:val="28"/>
          <w:szCs w:val="28"/>
          <w:lang w:val="es-MX"/>
        </w:rPr>
        <w:t xml:space="preserve"> </w:t>
      </w:r>
      <w:r w:rsidR="008566D1" w:rsidRPr="00E33A7C">
        <w:rPr>
          <w:rFonts w:ascii="Times New Roman" w:hAnsi="Times New Roman" w:cs="Times New Roman"/>
          <w:sz w:val="28"/>
          <w:szCs w:val="28"/>
          <w:lang w:val="es-MX"/>
        </w:rPr>
        <w:lastRenderedPageBreak/>
        <w:t xml:space="preserve">elaboradas por  </w:t>
      </w:r>
      <w:smartTag w:uri="urn:schemas-microsoft-com:office:smarttags" w:element="PersonName">
        <w:smartTagPr>
          <w:attr w:name="ProductID" w:val="la C￡mara Internacional"/>
        </w:smartTagPr>
        <w:smartTag w:uri="urn:schemas-microsoft-com:office:smarttags" w:element="PersonName">
          <w:smartTagPr>
            <w:attr w:name="ProductID" w:val="la C￡mara"/>
          </w:smartTagPr>
          <w:r w:rsidR="008566D1" w:rsidRPr="00E33A7C">
            <w:rPr>
              <w:rFonts w:ascii="Times New Roman" w:hAnsi="Times New Roman" w:cs="Times New Roman"/>
              <w:sz w:val="28"/>
              <w:szCs w:val="28"/>
              <w:lang w:val="es-MX"/>
            </w:rPr>
            <w:t>la Cámara</w:t>
          </w:r>
        </w:smartTag>
        <w:r w:rsidR="008566D1" w:rsidRPr="00E33A7C">
          <w:rPr>
            <w:rFonts w:ascii="Times New Roman" w:hAnsi="Times New Roman" w:cs="Times New Roman"/>
            <w:sz w:val="28"/>
            <w:szCs w:val="28"/>
            <w:lang w:val="es-MX"/>
          </w:rPr>
          <w:t xml:space="preserve"> Internacional</w:t>
        </w:r>
      </w:smartTag>
      <w:r w:rsidR="008566D1" w:rsidRPr="00E33A7C">
        <w:rPr>
          <w:rFonts w:ascii="Times New Roman" w:hAnsi="Times New Roman" w:cs="Times New Roman"/>
          <w:sz w:val="28"/>
          <w:szCs w:val="28"/>
          <w:lang w:val="es-MX"/>
        </w:rPr>
        <w:t xml:space="preserve"> de Comercio de Paris. En el caso del pago  mediante carta de crédito obtenida </w:t>
      </w:r>
      <w:r w:rsidR="00A20492" w:rsidRPr="00E33A7C">
        <w:rPr>
          <w:rFonts w:ascii="Times New Roman" w:hAnsi="Times New Roman" w:cs="Times New Roman"/>
          <w:sz w:val="28"/>
          <w:szCs w:val="28"/>
          <w:lang w:val="es-MX"/>
        </w:rPr>
        <w:t>la</w:t>
      </w:r>
      <w:r w:rsidR="008566D1" w:rsidRPr="00E33A7C">
        <w:rPr>
          <w:rFonts w:ascii="Times New Roman" w:hAnsi="Times New Roman" w:cs="Times New Roman"/>
          <w:sz w:val="28"/>
          <w:szCs w:val="28"/>
          <w:lang w:val="es-MX"/>
        </w:rPr>
        <w:t xml:space="preserve"> situación es similar, salvo el riego que corre el vendedor  de que el banco intermediario por no recibir los fondos del banco emitente</w:t>
      </w:r>
      <w:r w:rsidR="00C81D63" w:rsidRPr="00E33A7C">
        <w:rPr>
          <w:rFonts w:ascii="Times New Roman" w:hAnsi="Times New Roman" w:cs="Times New Roman"/>
          <w:sz w:val="28"/>
          <w:szCs w:val="28"/>
          <w:lang w:val="es-MX"/>
        </w:rPr>
        <w:t xml:space="preserve"> sufra el menoscabo correspondiente, aunque tenga acción contra el comprador por este entuerto. Las relaciones entre el comprador que obtiene la carta de crédito y el banco emisor se suelen regular  por las </w:t>
      </w:r>
      <w:r w:rsidR="00C81D63" w:rsidRPr="00E33A7C">
        <w:rPr>
          <w:rFonts w:ascii="Times New Roman" w:hAnsi="Times New Roman" w:cs="Times New Roman"/>
          <w:i/>
          <w:sz w:val="28"/>
          <w:szCs w:val="28"/>
          <w:lang w:val="es-MX"/>
        </w:rPr>
        <w:t>Uniform Customs and Practice for Documentary Credits</w:t>
      </w:r>
      <w:r w:rsidR="00C81D63" w:rsidRPr="00E33A7C">
        <w:rPr>
          <w:rFonts w:ascii="Times New Roman" w:hAnsi="Times New Roman" w:cs="Times New Roman"/>
          <w:sz w:val="28"/>
          <w:szCs w:val="28"/>
          <w:lang w:val="es-MX"/>
        </w:rPr>
        <w:t xml:space="preserve"> de la propia Cámara</w:t>
      </w:r>
      <w:r w:rsidR="004F45D9" w:rsidRPr="00E33A7C">
        <w:rPr>
          <w:rStyle w:val="FootnoteReference"/>
          <w:rFonts w:ascii="Times New Roman" w:hAnsi="Times New Roman" w:cs="Times New Roman"/>
          <w:sz w:val="28"/>
          <w:szCs w:val="28"/>
          <w:lang w:val="es-MX"/>
        </w:rPr>
        <w:footnoteReference w:id="41"/>
      </w:r>
      <w:r w:rsidR="004F45D9" w:rsidRPr="00E33A7C">
        <w:rPr>
          <w:rFonts w:ascii="Times New Roman" w:hAnsi="Times New Roman" w:cs="Times New Roman"/>
          <w:sz w:val="28"/>
          <w:szCs w:val="28"/>
          <w:lang w:val="es-MX"/>
        </w:rPr>
        <w:t>.</w:t>
      </w:r>
    </w:p>
    <w:p w:rsidR="00C81D63" w:rsidRPr="00E33A7C" w:rsidRDefault="00C81D63" w:rsidP="00687E2E">
      <w:pPr>
        <w:spacing w:line="360" w:lineRule="auto"/>
        <w:ind w:left="357"/>
        <w:jc w:val="both"/>
        <w:rPr>
          <w:rFonts w:ascii="Times New Roman" w:hAnsi="Times New Roman" w:cs="Times New Roman"/>
          <w:sz w:val="28"/>
          <w:szCs w:val="28"/>
          <w:lang w:val="es-MX"/>
        </w:rPr>
      </w:pPr>
    </w:p>
    <w:p w:rsidR="00C81D63" w:rsidRPr="00E33A7C" w:rsidRDefault="00C81D63" w:rsidP="00687E2E">
      <w:pPr>
        <w:spacing w:line="360" w:lineRule="auto"/>
        <w:ind w:left="357"/>
        <w:jc w:val="both"/>
        <w:rPr>
          <w:rFonts w:ascii="Times New Roman" w:hAnsi="Times New Roman" w:cs="Times New Roman"/>
          <w:sz w:val="28"/>
          <w:szCs w:val="28"/>
          <w:lang w:val="es-MX"/>
        </w:rPr>
      </w:pPr>
      <w:r w:rsidRPr="00E33A7C">
        <w:rPr>
          <w:rFonts w:ascii="Times New Roman" w:hAnsi="Times New Roman" w:cs="Times New Roman"/>
          <w:sz w:val="28"/>
          <w:szCs w:val="28"/>
          <w:lang w:val="es-MX"/>
        </w:rPr>
        <w:t xml:space="preserve">La oportunidad del pago se encuentra normada por al artículo 59 que señala que el mismo se ha de efectuar en la fecha fijada por el contrato o si no fuere el caso, por </w:t>
      </w:r>
      <w:smartTag w:uri="urn:schemas-microsoft-com:office:smarttags" w:element="PersonName">
        <w:smartTagPr>
          <w:attr w:name="ProductID" w:val="la CV. El"/>
        </w:smartTagPr>
        <w:smartTag w:uri="urn:schemas-microsoft-com:office:smarttags" w:element="PersonName">
          <w:smartTagPr>
            <w:attr w:name="ProductID" w:val="la CV."/>
          </w:smartTagPr>
          <w:r w:rsidRPr="00E33A7C">
            <w:rPr>
              <w:rFonts w:ascii="Times New Roman" w:hAnsi="Times New Roman" w:cs="Times New Roman"/>
              <w:sz w:val="28"/>
              <w:szCs w:val="28"/>
              <w:lang w:val="es-MX"/>
            </w:rPr>
            <w:t>la CV.</w:t>
          </w:r>
        </w:smartTag>
        <w:r w:rsidRPr="00E33A7C">
          <w:rPr>
            <w:rFonts w:ascii="Times New Roman" w:hAnsi="Times New Roman" w:cs="Times New Roman"/>
            <w:sz w:val="28"/>
            <w:szCs w:val="28"/>
            <w:lang w:val="es-MX"/>
          </w:rPr>
          <w:t xml:space="preserve"> El</w:t>
        </w:r>
      </w:smartTag>
      <w:r w:rsidRPr="00E33A7C">
        <w:rPr>
          <w:rFonts w:ascii="Times New Roman" w:hAnsi="Times New Roman" w:cs="Times New Roman"/>
          <w:sz w:val="28"/>
          <w:szCs w:val="28"/>
          <w:lang w:val="es-MX"/>
        </w:rPr>
        <w:t xml:space="preserve"> artículo 58</w:t>
      </w:r>
      <w:r w:rsidR="00DB0B62" w:rsidRPr="00E33A7C">
        <w:rPr>
          <w:rFonts w:ascii="Times New Roman" w:hAnsi="Times New Roman" w:cs="Times New Roman"/>
          <w:sz w:val="28"/>
          <w:szCs w:val="28"/>
          <w:lang w:val="es-MX"/>
        </w:rPr>
        <w:t xml:space="preserve"> diferencia los contratos según se haya o incluido el transporte. En el primer caso, el literal 1) se manifiesta que el precio se ha de solucionar al momento en que se entreguen las mercaderías o los documentos, sin perjuicio de que el comprador ponga la condición de que se entreguen las mercaderías para el pago del precio. Igualmente, según el literal 2), cuando se incluya el transporte, el vendedor podrá condicionar la entrega de las mercaderías o de los documentos al pago del precio. Según el literal 3)</w:t>
      </w:r>
      <w:r w:rsidR="00E33A7C" w:rsidRPr="00E33A7C">
        <w:rPr>
          <w:rFonts w:ascii="Times New Roman" w:hAnsi="Times New Roman" w:cs="Times New Roman"/>
          <w:sz w:val="28"/>
          <w:szCs w:val="28"/>
          <w:lang w:val="es-MX"/>
        </w:rPr>
        <w:t xml:space="preserve"> el comprador, salvo que no sea posible por la modalidad del contrato, no está obligado al pago del precio mientras no haya tenido la posibilidad de examinar las mercaderías.</w:t>
      </w:r>
    </w:p>
    <w:p w:rsidR="00EC4789" w:rsidRPr="00E33A7C" w:rsidRDefault="00EC4789" w:rsidP="00687E2E">
      <w:pPr>
        <w:spacing w:line="360" w:lineRule="auto"/>
        <w:ind w:left="357"/>
        <w:jc w:val="both"/>
        <w:rPr>
          <w:rFonts w:ascii="Times New Roman" w:hAnsi="Times New Roman" w:cs="Times New Roman"/>
          <w:sz w:val="28"/>
          <w:szCs w:val="28"/>
          <w:lang w:val="es-MX"/>
        </w:rPr>
      </w:pPr>
    </w:p>
    <w:p w:rsidR="00EC4789" w:rsidRDefault="007077F7" w:rsidP="00687E2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7.6. Es obligación del comprador</w:t>
      </w:r>
      <w:r w:rsidR="00C96575">
        <w:rPr>
          <w:rFonts w:ascii="Times New Roman" w:hAnsi="Times New Roman" w:cs="Times New Roman"/>
          <w:sz w:val="28"/>
          <w:szCs w:val="28"/>
          <w:lang w:val="es-MX"/>
        </w:rPr>
        <w:t xml:space="preserve">, según el artículo 60 de </w:t>
      </w:r>
      <w:smartTag w:uri="urn:schemas-microsoft-com:office:smarttags" w:element="PersonName">
        <w:smartTagPr>
          <w:attr w:name="ProductID" w:val="la CV"/>
        </w:smartTagPr>
        <w:r w:rsidR="00C96575">
          <w:rPr>
            <w:rFonts w:ascii="Times New Roman" w:hAnsi="Times New Roman" w:cs="Times New Roman"/>
            <w:sz w:val="28"/>
            <w:szCs w:val="28"/>
            <w:lang w:val="es-MX"/>
          </w:rPr>
          <w:t>la CV</w:t>
        </w:r>
      </w:smartTag>
      <w:r w:rsidR="00C96575">
        <w:rPr>
          <w:rFonts w:ascii="Times New Roman" w:hAnsi="Times New Roman" w:cs="Times New Roman"/>
          <w:sz w:val="28"/>
          <w:szCs w:val="28"/>
          <w:lang w:val="es-MX"/>
        </w:rPr>
        <w:t>,</w:t>
      </w:r>
      <w:r>
        <w:rPr>
          <w:rFonts w:ascii="Times New Roman" w:hAnsi="Times New Roman" w:cs="Times New Roman"/>
          <w:sz w:val="28"/>
          <w:szCs w:val="28"/>
          <w:lang w:val="es-MX"/>
        </w:rPr>
        <w:t xml:space="preserve"> recibir las mercaderías. Al intento ha</w:t>
      </w:r>
      <w:r w:rsidR="00C96575">
        <w:rPr>
          <w:rFonts w:ascii="Times New Roman" w:hAnsi="Times New Roman" w:cs="Times New Roman"/>
          <w:sz w:val="28"/>
          <w:szCs w:val="28"/>
          <w:lang w:val="es-MX"/>
        </w:rPr>
        <w:t xml:space="preserve"> de</w:t>
      </w:r>
      <w:r>
        <w:rPr>
          <w:rFonts w:ascii="Times New Roman" w:hAnsi="Times New Roman" w:cs="Times New Roman"/>
          <w:sz w:val="28"/>
          <w:szCs w:val="28"/>
          <w:lang w:val="es-MX"/>
        </w:rPr>
        <w:t xml:space="preserve"> realizar los actos que razonablemente quepa esperar y </w:t>
      </w:r>
      <w:r w:rsidR="00C96575">
        <w:rPr>
          <w:rFonts w:ascii="Times New Roman" w:hAnsi="Times New Roman" w:cs="Times New Roman"/>
          <w:sz w:val="28"/>
          <w:szCs w:val="28"/>
          <w:lang w:val="es-MX"/>
        </w:rPr>
        <w:t xml:space="preserve">se hará cargo </w:t>
      </w:r>
      <w:r>
        <w:rPr>
          <w:rFonts w:ascii="Times New Roman" w:hAnsi="Times New Roman" w:cs="Times New Roman"/>
          <w:sz w:val="28"/>
          <w:szCs w:val="28"/>
          <w:lang w:val="es-MX"/>
        </w:rPr>
        <w:t xml:space="preserve"> de las</w:t>
      </w:r>
      <w:r w:rsidR="00C96575">
        <w:rPr>
          <w:rFonts w:ascii="Times New Roman" w:hAnsi="Times New Roman" w:cs="Times New Roman"/>
          <w:sz w:val="28"/>
          <w:szCs w:val="28"/>
          <w:lang w:val="es-MX"/>
        </w:rPr>
        <w:t xml:space="preserve"> mercaderías</w:t>
      </w:r>
      <w:r>
        <w:rPr>
          <w:rFonts w:ascii="Times New Roman" w:hAnsi="Times New Roman" w:cs="Times New Roman"/>
          <w:sz w:val="28"/>
          <w:szCs w:val="28"/>
          <w:lang w:val="es-MX"/>
        </w:rPr>
        <w:t>.</w:t>
      </w:r>
      <w:r w:rsidR="00C96575">
        <w:rPr>
          <w:rFonts w:ascii="Times New Roman" w:hAnsi="Times New Roman" w:cs="Times New Roman"/>
          <w:sz w:val="28"/>
          <w:szCs w:val="28"/>
          <w:lang w:val="es-MX"/>
        </w:rPr>
        <w:t xml:space="preserve"> Cual ocurre generalmente en el fuero mercantil, el comprador no se encuentra obligado a recibir anticipadamente las mercaderías. Ello, en guarda de la </w:t>
      </w:r>
      <w:r w:rsidR="00C96575">
        <w:rPr>
          <w:rFonts w:ascii="Times New Roman" w:hAnsi="Times New Roman" w:cs="Times New Roman"/>
          <w:sz w:val="28"/>
          <w:szCs w:val="28"/>
          <w:lang w:val="es-MX"/>
        </w:rPr>
        <w:lastRenderedPageBreak/>
        <w:t xml:space="preserve">conveniencia de su giro. </w:t>
      </w:r>
      <w:r w:rsidR="00FF67AF">
        <w:rPr>
          <w:rFonts w:ascii="Times New Roman" w:hAnsi="Times New Roman" w:cs="Times New Roman"/>
          <w:sz w:val="28"/>
          <w:szCs w:val="28"/>
          <w:lang w:val="es-MX"/>
        </w:rPr>
        <w:t>Se trata de una demostración del deber de cooperación del comprador hacia el vendedor. Las actividades necesarias al propósito pueden consistir en la entrega del material de embalaje a menos que a ello se haya comprometido el vendedor, la información sobre la modalidad de transporte y la asistenta en la realización de actividades administrativas</w:t>
      </w:r>
      <w:r w:rsidR="00FF67AF">
        <w:rPr>
          <w:rStyle w:val="FootnoteReference"/>
          <w:rFonts w:ascii="Times New Roman" w:hAnsi="Times New Roman" w:cs="Times New Roman"/>
          <w:sz w:val="28"/>
          <w:szCs w:val="28"/>
          <w:lang w:val="es-MX"/>
        </w:rPr>
        <w:footnoteReference w:id="42"/>
      </w:r>
      <w:r w:rsidR="00FF67AF">
        <w:rPr>
          <w:rFonts w:ascii="Times New Roman" w:hAnsi="Times New Roman" w:cs="Times New Roman"/>
          <w:sz w:val="28"/>
          <w:szCs w:val="28"/>
          <w:lang w:val="es-MX"/>
        </w:rPr>
        <w:t>.</w:t>
      </w:r>
    </w:p>
    <w:p w:rsidR="009371F4" w:rsidRDefault="009371F4" w:rsidP="00687E2E">
      <w:pPr>
        <w:spacing w:line="360" w:lineRule="auto"/>
        <w:ind w:left="357"/>
        <w:jc w:val="both"/>
        <w:rPr>
          <w:rFonts w:ascii="Times New Roman" w:hAnsi="Times New Roman" w:cs="Times New Roman"/>
          <w:sz w:val="28"/>
          <w:szCs w:val="28"/>
          <w:lang w:val="es-MX"/>
        </w:rPr>
      </w:pPr>
    </w:p>
    <w:p w:rsidR="009371F4" w:rsidRDefault="009371F4" w:rsidP="00687E2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Además, debería el comprador hacer  conocer al vendedor dentro de un plazo razonable</w:t>
      </w:r>
      <w:r w:rsidR="00FB35F8">
        <w:rPr>
          <w:rFonts w:ascii="Times New Roman" w:hAnsi="Times New Roman" w:cs="Times New Roman"/>
          <w:sz w:val="28"/>
          <w:szCs w:val="28"/>
          <w:lang w:val="es-MX"/>
        </w:rPr>
        <w:t xml:space="preserve"> la existencia o pretensión de un tercero sobre las mercaderías, so pena de perder el derecho al saneamiento de la evicción. Todo conforme  a los artículos 43 1), 41 y 42 e </w:t>
      </w:r>
      <w:smartTag w:uri="urn:schemas-microsoft-com:office:smarttags" w:element="PersonName">
        <w:smartTagPr>
          <w:attr w:name="ProductID" w:val="la CV. A"/>
        </w:smartTagPr>
        <w:smartTag w:uri="urn:schemas-microsoft-com:office:smarttags" w:element="PersonName">
          <w:smartTagPr>
            <w:attr w:name="ProductID" w:val="la CV."/>
          </w:smartTagPr>
          <w:r w:rsidR="00FB35F8">
            <w:rPr>
              <w:rFonts w:ascii="Times New Roman" w:hAnsi="Times New Roman" w:cs="Times New Roman"/>
              <w:sz w:val="28"/>
              <w:szCs w:val="28"/>
              <w:lang w:val="es-MX"/>
            </w:rPr>
            <w:t>la CV.</w:t>
          </w:r>
        </w:smartTag>
        <w:r w:rsidR="00FB35F8">
          <w:rPr>
            <w:rFonts w:ascii="Times New Roman" w:hAnsi="Times New Roman" w:cs="Times New Roman"/>
            <w:sz w:val="28"/>
            <w:szCs w:val="28"/>
            <w:lang w:val="es-MX"/>
          </w:rPr>
          <w:t xml:space="preserve"> A</w:t>
        </w:r>
      </w:smartTag>
      <w:r w:rsidR="00FB35F8">
        <w:rPr>
          <w:rFonts w:ascii="Times New Roman" w:hAnsi="Times New Roman" w:cs="Times New Roman"/>
          <w:sz w:val="28"/>
          <w:szCs w:val="28"/>
          <w:lang w:val="es-MX"/>
        </w:rPr>
        <w:t xml:space="preserve"> estos extremos se ha hecho referencia con anterioridad.</w:t>
      </w:r>
    </w:p>
    <w:p w:rsidR="00A141D0" w:rsidRDefault="00A141D0" w:rsidP="00687E2E">
      <w:pPr>
        <w:spacing w:line="360" w:lineRule="auto"/>
        <w:ind w:left="357"/>
        <w:jc w:val="both"/>
        <w:rPr>
          <w:rFonts w:ascii="Times New Roman" w:hAnsi="Times New Roman" w:cs="Times New Roman"/>
          <w:sz w:val="28"/>
          <w:szCs w:val="28"/>
          <w:lang w:val="es-MX"/>
        </w:rPr>
      </w:pPr>
    </w:p>
    <w:p w:rsidR="00A141D0" w:rsidRDefault="00A141D0"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8. </w:t>
      </w:r>
      <w:r w:rsidR="00FE170E">
        <w:rPr>
          <w:rFonts w:ascii="Times New Roman" w:hAnsi="Times New Roman" w:cs="Times New Roman"/>
          <w:sz w:val="28"/>
          <w:szCs w:val="28"/>
          <w:lang w:val="es-MX"/>
        </w:rPr>
        <w:t xml:space="preserve">En este Ítem se analiza las cuestiones que se suscitan por el incumplimiento del contrato por  cualquiera de las partes. Tiene singular importancia el estudio de los remedios que pueden ejercitar  vendedores y compradores en guarda de sus intereses.  Los artículos </w:t>
      </w:r>
      <w:r w:rsidR="008C17C5">
        <w:rPr>
          <w:rFonts w:ascii="Times New Roman" w:hAnsi="Times New Roman" w:cs="Times New Roman"/>
          <w:sz w:val="28"/>
          <w:szCs w:val="28"/>
          <w:lang w:val="es-MX"/>
        </w:rPr>
        <w:t>45</w:t>
      </w:r>
      <w:r w:rsidR="00FE170E">
        <w:rPr>
          <w:rFonts w:ascii="Times New Roman" w:hAnsi="Times New Roman" w:cs="Times New Roman"/>
          <w:sz w:val="28"/>
          <w:szCs w:val="28"/>
          <w:lang w:val="es-MX"/>
        </w:rPr>
        <w:t xml:space="preserve"> al </w:t>
      </w:r>
      <w:r w:rsidR="008C17C5">
        <w:rPr>
          <w:rFonts w:ascii="Times New Roman" w:hAnsi="Times New Roman" w:cs="Times New Roman"/>
          <w:sz w:val="28"/>
          <w:szCs w:val="28"/>
          <w:lang w:val="es-MX"/>
        </w:rPr>
        <w:t>52</w:t>
      </w:r>
      <w:r w:rsidR="00FE170E">
        <w:rPr>
          <w:rFonts w:ascii="Times New Roman" w:hAnsi="Times New Roman" w:cs="Times New Roman"/>
          <w:sz w:val="28"/>
          <w:szCs w:val="28"/>
          <w:lang w:val="es-MX"/>
        </w:rPr>
        <w:t xml:space="preserve"> de </w:t>
      </w:r>
      <w:smartTag w:uri="urn:schemas-microsoft-com:office:smarttags" w:element="PersonName">
        <w:smartTagPr>
          <w:attr w:name="ProductID" w:val="la CV"/>
        </w:smartTagPr>
        <w:r w:rsidR="00FE170E">
          <w:rPr>
            <w:rFonts w:ascii="Times New Roman" w:hAnsi="Times New Roman" w:cs="Times New Roman"/>
            <w:sz w:val="28"/>
            <w:szCs w:val="28"/>
            <w:lang w:val="es-MX"/>
          </w:rPr>
          <w:t>la CV</w:t>
        </w:r>
      </w:smartTag>
      <w:r w:rsidR="00FE170E">
        <w:rPr>
          <w:rFonts w:ascii="Times New Roman" w:hAnsi="Times New Roman" w:cs="Times New Roman"/>
          <w:sz w:val="28"/>
          <w:szCs w:val="28"/>
          <w:lang w:val="es-MX"/>
        </w:rPr>
        <w:t xml:space="preserve"> atañen a los derechos y acciones en caso de incumplimiento del contrato por el</w:t>
      </w:r>
      <w:r w:rsidR="008C17C5">
        <w:rPr>
          <w:rFonts w:ascii="Times New Roman" w:hAnsi="Times New Roman" w:cs="Times New Roman"/>
          <w:sz w:val="28"/>
          <w:szCs w:val="28"/>
          <w:lang w:val="es-MX"/>
        </w:rPr>
        <w:t xml:space="preserve"> vendedor</w:t>
      </w:r>
      <w:r w:rsidR="00FE170E">
        <w:rPr>
          <w:rFonts w:ascii="Times New Roman" w:hAnsi="Times New Roman" w:cs="Times New Roman"/>
          <w:sz w:val="28"/>
          <w:szCs w:val="28"/>
          <w:lang w:val="es-MX"/>
        </w:rPr>
        <w:t>.</w:t>
      </w:r>
      <w:r w:rsidR="008C17C5">
        <w:rPr>
          <w:rFonts w:ascii="Times New Roman" w:hAnsi="Times New Roman" w:cs="Times New Roman"/>
          <w:sz w:val="28"/>
          <w:szCs w:val="28"/>
          <w:lang w:val="es-MX"/>
        </w:rPr>
        <w:t xml:space="preserve"> Los  referentes al incumplimiento del comprador constan entre los artículos 61 y 65.</w:t>
      </w:r>
    </w:p>
    <w:p w:rsidR="009E1BAD" w:rsidRDefault="009E1BAD" w:rsidP="00FE170E">
      <w:pPr>
        <w:spacing w:line="360" w:lineRule="auto"/>
        <w:ind w:left="357"/>
        <w:jc w:val="both"/>
        <w:rPr>
          <w:rFonts w:ascii="Times New Roman" w:hAnsi="Times New Roman" w:cs="Times New Roman"/>
          <w:sz w:val="28"/>
          <w:szCs w:val="28"/>
          <w:lang w:val="es-MX"/>
        </w:rPr>
      </w:pPr>
    </w:p>
    <w:p w:rsidR="009E1BAD" w:rsidRDefault="000847C9"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8.1. </w:t>
      </w:r>
      <w:r w:rsidR="009E1BAD">
        <w:rPr>
          <w:rFonts w:ascii="Times New Roman" w:hAnsi="Times New Roman" w:cs="Times New Roman"/>
          <w:sz w:val="28"/>
          <w:szCs w:val="28"/>
          <w:lang w:val="es-MX"/>
        </w:rPr>
        <w:t>Garro y Zuppi distinguen entre remedios que persiguen la conservación del contrato, su terminación, o su saneamiento. En esta parte se sigue el planteamiento de estos autores</w:t>
      </w:r>
      <w:r w:rsidR="009E1BAD">
        <w:rPr>
          <w:rStyle w:val="FootnoteReference"/>
          <w:rFonts w:ascii="Times New Roman" w:hAnsi="Times New Roman" w:cs="Times New Roman"/>
          <w:sz w:val="28"/>
          <w:szCs w:val="28"/>
          <w:lang w:val="es-MX"/>
        </w:rPr>
        <w:footnoteReference w:id="43"/>
      </w:r>
      <w:r w:rsidR="000335A1">
        <w:rPr>
          <w:rFonts w:ascii="Times New Roman" w:hAnsi="Times New Roman" w:cs="Times New Roman"/>
          <w:sz w:val="28"/>
          <w:szCs w:val="28"/>
          <w:lang w:val="es-MX"/>
        </w:rPr>
        <w:t xml:space="preserve">. El otorgar un plazo de gracia al vendedor en los términos del art. 47 1), significa que éste podrá cumplir con la entrega de las mercaderías y con otras obligaciones que le son propias dentro del plazo concedido.  El otorgamiento debería ser </w:t>
      </w:r>
      <w:r w:rsidR="000335A1">
        <w:rPr>
          <w:rFonts w:ascii="Times New Roman" w:hAnsi="Times New Roman" w:cs="Times New Roman"/>
          <w:sz w:val="28"/>
          <w:szCs w:val="28"/>
          <w:lang w:val="es-MX"/>
        </w:rPr>
        <w:lastRenderedPageBreak/>
        <w:t>comunicado al vendedor. Los plazos para ejercitar las acciones de cumplimiento y de prescripción no deberían interrumpirse por el  plazo de gracia, pues, tales acciones dimanan de la ley.</w:t>
      </w:r>
      <w:r w:rsidR="00435FEF">
        <w:rPr>
          <w:rFonts w:ascii="Times New Roman" w:hAnsi="Times New Roman" w:cs="Times New Roman"/>
          <w:sz w:val="28"/>
          <w:szCs w:val="28"/>
          <w:lang w:val="es-MX"/>
        </w:rPr>
        <w:t xml:space="preserve"> El artículo 199 del Código de Comercio prevé que la falta de entrega de las mercaderías dentro del plazo estipulado habilita al comprador para solicitar el cumplimiento del contrato o su resolución amén de daños y perjuicios. El Código no regula expresamente la prórroga de plazo, mas, tampoco lo deniega, debiendo entenderse que el plazo estipulado, para la entrega de las mercaderías o para el cumplimiento de otras obligaciones, se ha innovado, vale decir ampliado, por voluntad del comprador. Si acepta tácita o expresamente la prórroga el vendedor, habría que entender que hasta que no concluya tal prórroga, no se encuentra en mora y mal cabría que el comprador ejercite las acciones mencionadas.</w:t>
      </w:r>
    </w:p>
    <w:p w:rsidR="002E2647" w:rsidRDefault="002E2647" w:rsidP="00FE170E">
      <w:pPr>
        <w:spacing w:line="360" w:lineRule="auto"/>
        <w:ind w:left="357"/>
        <w:jc w:val="both"/>
        <w:rPr>
          <w:rFonts w:ascii="Times New Roman" w:hAnsi="Times New Roman" w:cs="Times New Roman"/>
          <w:sz w:val="28"/>
          <w:szCs w:val="28"/>
          <w:lang w:val="es-MX"/>
        </w:rPr>
      </w:pPr>
    </w:p>
    <w:p w:rsidR="002E2647" w:rsidRDefault="002E2647"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El derecho de solicitar el cumplimiento de las obligaciones que surgen del contrato, de acuerdo al artículo 46 1) puede referirse  a una a toda</w:t>
      </w:r>
      <w:r w:rsidR="005E454C">
        <w:rPr>
          <w:rFonts w:ascii="Times New Roman" w:hAnsi="Times New Roman" w:cs="Times New Roman"/>
          <w:sz w:val="28"/>
          <w:szCs w:val="28"/>
          <w:lang w:val="es-MX"/>
        </w:rPr>
        <w:t xml:space="preserve">s </w:t>
      </w:r>
      <w:r>
        <w:rPr>
          <w:rFonts w:ascii="Times New Roman" w:hAnsi="Times New Roman" w:cs="Times New Roman"/>
          <w:sz w:val="28"/>
          <w:szCs w:val="28"/>
          <w:lang w:val="es-MX"/>
        </w:rPr>
        <w:t xml:space="preserve">ellas. Lo que no cabe es que se ejercite esa acción si previamente a ello se ha solicitado la resolución del contrato o se ha </w:t>
      </w:r>
      <w:r w:rsidR="00520F48">
        <w:rPr>
          <w:rFonts w:ascii="Times New Roman" w:hAnsi="Times New Roman" w:cs="Times New Roman"/>
          <w:sz w:val="28"/>
          <w:szCs w:val="28"/>
          <w:lang w:val="es-MX"/>
        </w:rPr>
        <w:t>interpuesto</w:t>
      </w:r>
      <w:r>
        <w:rPr>
          <w:rFonts w:ascii="Times New Roman" w:hAnsi="Times New Roman" w:cs="Times New Roman"/>
          <w:sz w:val="28"/>
          <w:szCs w:val="28"/>
          <w:lang w:val="es-MX"/>
        </w:rPr>
        <w:t xml:space="preserve"> alguna acci</w:t>
      </w:r>
      <w:r w:rsidR="00520F48">
        <w:rPr>
          <w:rFonts w:ascii="Times New Roman" w:hAnsi="Times New Roman" w:cs="Times New Roman"/>
          <w:sz w:val="28"/>
          <w:szCs w:val="28"/>
          <w:lang w:val="es-MX"/>
        </w:rPr>
        <w:t>ón incompatible con la de cumplimiento.</w:t>
      </w:r>
      <w:r>
        <w:rPr>
          <w:rFonts w:ascii="Times New Roman" w:hAnsi="Times New Roman" w:cs="Times New Roman"/>
          <w:sz w:val="28"/>
          <w:szCs w:val="28"/>
          <w:lang w:val="es-MX"/>
        </w:rPr>
        <w:t xml:space="preserve"> La falta de entrega de las mercaderías  comporta un caso de incumplimiento esencial en los términos del artículo 25. Al tenor del artículo 46 2)</w:t>
      </w:r>
      <w:r w:rsidR="00520F48">
        <w:rPr>
          <w:rFonts w:ascii="Times New Roman" w:hAnsi="Times New Roman" w:cs="Times New Roman"/>
          <w:sz w:val="28"/>
          <w:szCs w:val="28"/>
          <w:lang w:val="es-MX"/>
        </w:rPr>
        <w:t xml:space="preserve"> si las mercaderías no fueren conformes al contrato podrá exigir la entrega de otras mercaderías en sustitución solo si la falta de conformidad constituya  un incumplimiento esencial o si fuere el caso, según el artículo 46 3), exigir que  se las repare. Todo, en forma oportuna, según el artículo 39.</w:t>
      </w:r>
      <w:r w:rsidR="005B7F03">
        <w:rPr>
          <w:rFonts w:ascii="Times New Roman" w:hAnsi="Times New Roman" w:cs="Times New Roman"/>
          <w:sz w:val="28"/>
          <w:szCs w:val="28"/>
          <w:lang w:val="es-MX"/>
        </w:rPr>
        <w:t xml:space="preserve"> </w:t>
      </w:r>
    </w:p>
    <w:p w:rsidR="005B7F03" w:rsidRDefault="005B7F03" w:rsidP="00FE170E">
      <w:pPr>
        <w:spacing w:line="360" w:lineRule="auto"/>
        <w:ind w:left="357"/>
        <w:jc w:val="both"/>
        <w:rPr>
          <w:rFonts w:ascii="Times New Roman" w:hAnsi="Times New Roman" w:cs="Times New Roman"/>
          <w:sz w:val="28"/>
          <w:szCs w:val="28"/>
          <w:lang w:val="es-MX"/>
        </w:rPr>
      </w:pPr>
    </w:p>
    <w:p w:rsidR="005B7F03" w:rsidRDefault="005B7F03"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50 prevé que se podrá pedir la reducción del precio si las mercaderías no fueren conformes al contrato, debiéndose tomar en cuenta la diferencia existente entre el valor de las mercaderías al </w:t>
      </w:r>
      <w:r>
        <w:rPr>
          <w:rFonts w:ascii="Times New Roman" w:hAnsi="Times New Roman" w:cs="Times New Roman"/>
          <w:sz w:val="28"/>
          <w:szCs w:val="28"/>
          <w:lang w:val="es-MX"/>
        </w:rPr>
        <w:lastRenderedPageBreak/>
        <w:t>momento de la entrega y el valor que habrían tenido según el contrato. El vendedor podrá subsanar el entuerto y evitar la reducción del pr</w:t>
      </w:r>
      <w:r w:rsidR="002E4F19">
        <w:rPr>
          <w:rFonts w:ascii="Times New Roman" w:hAnsi="Times New Roman" w:cs="Times New Roman"/>
          <w:sz w:val="28"/>
          <w:szCs w:val="28"/>
          <w:lang w:val="es-MX"/>
        </w:rPr>
        <w:t xml:space="preserve">ecio. Garro y Zuppi comentan que esta acción de reducción del precio denominada </w:t>
      </w:r>
      <w:r w:rsidR="002E4F19" w:rsidRPr="002E4F19">
        <w:rPr>
          <w:rFonts w:ascii="Times New Roman" w:hAnsi="Times New Roman" w:cs="Times New Roman"/>
          <w:i/>
          <w:sz w:val="28"/>
          <w:szCs w:val="28"/>
          <w:lang w:val="es-MX"/>
        </w:rPr>
        <w:t>acción estimatoria</w:t>
      </w:r>
      <w:r w:rsidR="002E4F19">
        <w:rPr>
          <w:rFonts w:ascii="Times New Roman" w:hAnsi="Times New Roman" w:cs="Times New Roman"/>
          <w:sz w:val="28"/>
          <w:szCs w:val="28"/>
          <w:lang w:val="es-MX"/>
        </w:rPr>
        <w:t xml:space="preserve">, es propia de los países del </w:t>
      </w:r>
      <w:r w:rsidR="002E4F19" w:rsidRPr="00A30DB4">
        <w:rPr>
          <w:rFonts w:ascii="Times New Roman" w:hAnsi="Times New Roman" w:cs="Times New Roman"/>
          <w:i/>
          <w:sz w:val="28"/>
          <w:szCs w:val="28"/>
          <w:lang w:val="es-MX"/>
        </w:rPr>
        <w:t>continental law</w:t>
      </w:r>
      <w:r w:rsidR="002E4F19">
        <w:rPr>
          <w:rFonts w:ascii="Times New Roman" w:hAnsi="Times New Roman" w:cs="Times New Roman"/>
          <w:sz w:val="28"/>
          <w:szCs w:val="28"/>
          <w:lang w:val="es-MX"/>
        </w:rPr>
        <w:t xml:space="preserve"> y que para los del </w:t>
      </w:r>
      <w:r w:rsidR="002E4F19" w:rsidRPr="00A30DB4">
        <w:rPr>
          <w:rFonts w:ascii="Times New Roman" w:hAnsi="Times New Roman" w:cs="Times New Roman"/>
          <w:i/>
          <w:sz w:val="28"/>
          <w:szCs w:val="28"/>
          <w:lang w:val="es-MX"/>
        </w:rPr>
        <w:t>commom law</w:t>
      </w:r>
      <w:r w:rsidR="002E4F19">
        <w:rPr>
          <w:rFonts w:ascii="Times New Roman" w:hAnsi="Times New Roman" w:cs="Times New Roman"/>
          <w:sz w:val="28"/>
          <w:szCs w:val="28"/>
          <w:lang w:val="es-MX"/>
        </w:rPr>
        <w:t xml:space="preserve"> la reducción aludida tiene la significación de una compensación que permite</w:t>
      </w:r>
      <w:r w:rsidR="00725469">
        <w:rPr>
          <w:rFonts w:ascii="Times New Roman" w:hAnsi="Times New Roman" w:cs="Times New Roman"/>
          <w:sz w:val="28"/>
          <w:szCs w:val="28"/>
          <w:lang w:val="es-MX"/>
        </w:rPr>
        <w:t xml:space="preserve"> al comprador deducir el monto de los daños y perjuicios sufridos.</w:t>
      </w:r>
      <w:r w:rsidR="002E4F19">
        <w:rPr>
          <w:rFonts w:ascii="Times New Roman" w:hAnsi="Times New Roman" w:cs="Times New Roman"/>
          <w:sz w:val="28"/>
          <w:szCs w:val="28"/>
          <w:lang w:val="es-MX"/>
        </w:rPr>
        <w:t xml:space="preserve"> </w:t>
      </w:r>
    </w:p>
    <w:p w:rsidR="00973386" w:rsidRDefault="00973386" w:rsidP="00FE170E">
      <w:pPr>
        <w:spacing w:line="360" w:lineRule="auto"/>
        <w:ind w:left="357"/>
        <w:jc w:val="both"/>
        <w:rPr>
          <w:rFonts w:ascii="Times New Roman" w:hAnsi="Times New Roman" w:cs="Times New Roman"/>
          <w:sz w:val="28"/>
          <w:szCs w:val="28"/>
          <w:lang w:val="es-MX"/>
        </w:rPr>
      </w:pPr>
    </w:p>
    <w:p w:rsidR="00896D94" w:rsidRDefault="00973386"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La terminación o resolución del contrato puede darse por incumplimiento esencial en los términos del artículo 25 mencionado. Si no tuviera e</w:t>
      </w:r>
      <w:r w:rsidR="00657ADF">
        <w:rPr>
          <w:rFonts w:ascii="Times New Roman" w:hAnsi="Times New Roman" w:cs="Times New Roman"/>
          <w:sz w:val="28"/>
          <w:szCs w:val="28"/>
          <w:lang w:val="es-MX"/>
        </w:rPr>
        <w:t>sa característica</w:t>
      </w:r>
      <w:r>
        <w:rPr>
          <w:rFonts w:ascii="Times New Roman" w:hAnsi="Times New Roman" w:cs="Times New Roman"/>
          <w:sz w:val="28"/>
          <w:szCs w:val="28"/>
          <w:lang w:val="es-MX"/>
        </w:rPr>
        <w:t xml:space="preserve"> el incumplimiento lo que cabe  la acción de cumplimiento más los daños y perjuicios. Entregadas las mercaderías, la resolución del contrato  se sujeta al aviso que el </w:t>
      </w:r>
      <w:r w:rsidR="00896D94">
        <w:rPr>
          <w:rFonts w:ascii="Times New Roman" w:hAnsi="Times New Roman" w:cs="Times New Roman"/>
          <w:sz w:val="28"/>
          <w:szCs w:val="28"/>
          <w:lang w:val="es-MX"/>
        </w:rPr>
        <w:t>comprador</w:t>
      </w:r>
      <w:r>
        <w:rPr>
          <w:rFonts w:ascii="Times New Roman" w:hAnsi="Times New Roman" w:cs="Times New Roman"/>
          <w:sz w:val="28"/>
          <w:szCs w:val="28"/>
          <w:lang w:val="es-MX"/>
        </w:rPr>
        <w:t xml:space="preserve"> dé  al vendedor según los artículos 26 y </w:t>
      </w:r>
      <w:r w:rsidR="00896D94">
        <w:rPr>
          <w:rFonts w:ascii="Times New Roman" w:hAnsi="Times New Roman" w:cs="Times New Roman"/>
          <w:sz w:val="28"/>
          <w:szCs w:val="28"/>
          <w:lang w:val="es-MX"/>
        </w:rPr>
        <w:t>4</w:t>
      </w:r>
      <w:r>
        <w:rPr>
          <w:rFonts w:ascii="Times New Roman" w:hAnsi="Times New Roman" w:cs="Times New Roman"/>
          <w:sz w:val="28"/>
          <w:szCs w:val="28"/>
          <w:lang w:val="es-MX"/>
        </w:rPr>
        <w:t>9 2)</w:t>
      </w:r>
      <w:r w:rsidR="00896D94">
        <w:rPr>
          <w:rFonts w:ascii="Times New Roman" w:hAnsi="Times New Roman" w:cs="Times New Roman"/>
          <w:sz w:val="28"/>
          <w:szCs w:val="28"/>
          <w:lang w:val="es-MX"/>
        </w:rPr>
        <w:t xml:space="preserve">. No cabe la resolución, según el artículo 82  cuando le sea imposible al comprador </w:t>
      </w:r>
      <w:r w:rsidR="00657ADF">
        <w:rPr>
          <w:rFonts w:ascii="Times New Roman" w:hAnsi="Times New Roman" w:cs="Times New Roman"/>
          <w:sz w:val="28"/>
          <w:szCs w:val="28"/>
          <w:lang w:val="es-MX"/>
        </w:rPr>
        <w:t>restituir las mercaderías a</w:t>
      </w:r>
      <w:r w:rsidR="00896D94">
        <w:rPr>
          <w:rFonts w:ascii="Times New Roman" w:hAnsi="Times New Roman" w:cs="Times New Roman"/>
          <w:sz w:val="28"/>
          <w:szCs w:val="28"/>
          <w:lang w:val="es-MX"/>
        </w:rPr>
        <w:t xml:space="preserve"> un estado sustancialmente idéntico a aquél en que las hubiera recibido. La propia disposición contiene salvedades a esa imposibilidad.</w:t>
      </w:r>
    </w:p>
    <w:p w:rsidR="00896D94" w:rsidRDefault="00896D94" w:rsidP="00FE170E">
      <w:pPr>
        <w:spacing w:line="360" w:lineRule="auto"/>
        <w:ind w:left="357"/>
        <w:jc w:val="both"/>
        <w:rPr>
          <w:rFonts w:ascii="Times New Roman" w:hAnsi="Times New Roman" w:cs="Times New Roman"/>
          <w:sz w:val="28"/>
          <w:szCs w:val="28"/>
          <w:lang w:val="es-MX"/>
        </w:rPr>
      </w:pPr>
    </w:p>
    <w:p w:rsidR="0010225E" w:rsidRDefault="0010225E"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Tiene importancia suma definir qué se entiende por incumplimiento esencial</w:t>
      </w:r>
      <w:r w:rsidR="007A6374">
        <w:rPr>
          <w:rFonts w:ascii="Times New Roman" w:hAnsi="Times New Roman" w:cs="Times New Roman"/>
          <w:sz w:val="28"/>
          <w:szCs w:val="28"/>
          <w:lang w:val="es-MX"/>
        </w:rPr>
        <w:t xml:space="preserve">. Calvo Caravaca proclama que la falta de entrega de tanto de la mercadería como de los documentos constituye de suyo el supuesto por excelencia de incumplimiento esencial y  cita a Schechtriem  quién  sustenta que </w:t>
      </w:r>
      <w:r w:rsidR="007A6374" w:rsidRPr="000B153B">
        <w:rPr>
          <w:rFonts w:ascii="Times New Roman" w:hAnsi="Times New Roman" w:cs="Times New Roman"/>
          <w:i/>
          <w:sz w:val="28"/>
          <w:szCs w:val="28"/>
          <w:lang w:val="es-MX"/>
        </w:rPr>
        <w:t xml:space="preserve">ha de tratarse de una contravención de tal gravedad que el comprador se vea privado de lo que, desde un punto de vista objetivo, cabía esperar en el momento de la conclusión del contrato según una valoración que en todo caso se supedita a las circunstancias del </w:t>
      </w:r>
      <w:r w:rsidR="007A6374" w:rsidRPr="000B153B">
        <w:rPr>
          <w:rFonts w:ascii="Times New Roman" w:hAnsi="Times New Roman" w:cs="Times New Roman"/>
          <w:i/>
          <w:sz w:val="28"/>
          <w:szCs w:val="28"/>
          <w:lang w:val="es-MX"/>
        </w:rPr>
        <w:lastRenderedPageBreak/>
        <w:t>supuesto concreto</w:t>
      </w:r>
      <w:r w:rsidR="000B153B">
        <w:rPr>
          <w:rStyle w:val="FootnoteReference"/>
          <w:rFonts w:ascii="Times New Roman" w:hAnsi="Times New Roman" w:cs="Times New Roman"/>
          <w:sz w:val="28"/>
          <w:szCs w:val="28"/>
          <w:lang w:val="es-MX"/>
        </w:rPr>
        <w:footnoteReference w:id="44"/>
      </w:r>
      <w:r w:rsidR="007A6374">
        <w:rPr>
          <w:rFonts w:ascii="Times New Roman" w:hAnsi="Times New Roman" w:cs="Times New Roman"/>
          <w:sz w:val="28"/>
          <w:szCs w:val="28"/>
          <w:lang w:val="es-MX"/>
        </w:rPr>
        <w:t>.</w:t>
      </w:r>
      <w:r w:rsidR="000B153B">
        <w:rPr>
          <w:rFonts w:ascii="Times New Roman" w:hAnsi="Times New Roman" w:cs="Times New Roman"/>
          <w:sz w:val="28"/>
          <w:szCs w:val="28"/>
          <w:lang w:val="es-MX"/>
        </w:rPr>
        <w:t xml:space="preserve"> El incumplimiento esencial se contrapone al que no lo es. La jurisprudencia, en cada caso concreto se ha pronunciar sobre el tema. Sin embargo, cabe afirmar que el incumplimiento esencial tiene íntima relación con lo que constituye la esencia del contrato y con las obligaciones que de ella dimanan.</w:t>
      </w:r>
    </w:p>
    <w:p w:rsidR="000B153B" w:rsidRDefault="000B153B" w:rsidP="00FE170E">
      <w:pPr>
        <w:spacing w:line="360" w:lineRule="auto"/>
        <w:ind w:left="357"/>
        <w:jc w:val="both"/>
        <w:rPr>
          <w:rFonts w:ascii="Times New Roman" w:hAnsi="Times New Roman" w:cs="Times New Roman"/>
          <w:sz w:val="28"/>
          <w:szCs w:val="28"/>
          <w:lang w:val="es-MX"/>
        </w:rPr>
      </w:pPr>
    </w:p>
    <w:p w:rsidR="000B153B" w:rsidRPr="00657ADF" w:rsidRDefault="00F2527B" w:rsidP="00FE170E">
      <w:pPr>
        <w:spacing w:line="360" w:lineRule="auto"/>
        <w:ind w:left="357"/>
        <w:jc w:val="both"/>
        <w:rPr>
          <w:rFonts w:ascii="Times New Roman" w:hAnsi="Times New Roman" w:cs="Times New Roman"/>
          <w:sz w:val="20"/>
          <w:szCs w:val="20"/>
          <w:lang w:val="es-MX"/>
        </w:rPr>
      </w:pPr>
      <w:r w:rsidRPr="00657ADF">
        <w:rPr>
          <w:rFonts w:ascii="Times New Roman" w:hAnsi="Times New Roman" w:cs="Times New Roman"/>
          <w:sz w:val="20"/>
          <w:szCs w:val="20"/>
          <w:lang w:val="es-MX"/>
        </w:rPr>
        <w:t xml:space="preserve">En la sentencia de 17 de septiembre de 1991, el Tribunal de Frankfurt consideró que el comprador había declarado en forma oportuna la invalidez del contrato y que la exhibición de los zapatos implicaba un incumplimiento fundamental del contrato al amparo del artículo 25 del Convenio de Viena. </w:t>
      </w:r>
      <w:r w:rsidR="009D6576" w:rsidRPr="00657ADF">
        <w:rPr>
          <w:rFonts w:ascii="Times New Roman" w:hAnsi="Times New Roman" w:cs="Times New Roman"/>
          <w:sz w:val="20"/>
          <w:szCs w:val="20"/>
          <w:lang w:val="es-MX"/>
        </w:rPr>
        <w:t>El fabricante, además, podía considerar previsible que la exhibición de los pares de muestra afectaba directamente el interés del comprador de los mismos</w:t>
      </w:r>
      <w:r w:rsidR="009D6576" w:rsidRPr="00657ADF">
        <w:rPr>
          <w:rStyle w:val="FootnoteReference"/>
          <w:rFonts w:ascii="Times New Roman" w:hAnsi="Times New Roman" w:cs="Times New Roman"/>
          <w:sz w:val="20"/>
          <w:szCs w:val="20"/>
          <w:lang w:val="es-MX"/>
        </w:rPr>
        <w:footnoteReference w:id="45"/>
      </w:r>
      <w:r w:rsidR="009D6576" w:rsidRPr="00657ADF">
        <w:rPr>
          <w:rFonts w:ascii="Times New Roman" w:hAnsi="Times New Roman" w:cs="Times New Roman"/>
          <w:sz w:val="20"/>
          <w:szCs w:val="20"/>
          <w:lang w:val="es-MX"/>
        </w:rPr>
        <w:t>.</w:t>
      </w:r>
    </w:p>
    <w:p w:rsidR="009D6576" w:rsidRPr="00657ADF" w:rsidRDefault="009D6576" w:rsidP="00FE170E">
      <w:pPr>
        <w:spacing w:line="360" w:lineRule="auto"/>
        <w:ind w:left="357"/>
        <w:jc w:val="both"/>
        <w:rPr>
          <w:rFonts w:ascii="Times New Roman" w:hAnsi="Times New Roman" w:cs="Times New Roman"/>
          <w:sz w:val="20"/>
          <w:szCs w:val="20"/>
          <w:lang w:val="es-MX"/>
        </w:rPr>
      </w:pPr>
    </w:p>
    <w:p w:rsidR="00896D94" w:rsidRDefault="0038487C"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En el sistema ecuatoriano no se alude al incumplimiento como esencial o no. Además, lo que </w:t>
      </w:r>
      <w:smartTag w:uri="urn:schemas-microsoft-com:office:smarttags" w:element="PersonName">
        <w:smartTagPr>
          <w:attr w:name="ProductID" w:val="la CV"/>
        </w:smartTagPr>
        <w:r>
          <w:rPr>
            <w:rFonts w:ascii="Times New Roman" w:hAnsi="Times New Roman" w:cs="Times New Roman"/>
            <w:sz w:val="28"/>
            <w:szCs w:val="28"/>
            <w:lang w:val="es-MX"/>
          </w:rPr>
          <w:t>la CV</w:t>
        </w:r>
      </w:smartTag>
      <w:r>
        <w:rPr>
          <w:rFonts w:ascii="Times New Roman" w:hAnsi="Times New Roman" w:cs="Times New Roman"/>
          <w:sz w:val="28"/>
          <w:szCs w:val="28"/>
          <w:lang w:val="es-MX"/>
        </w:rPr>
        <w:t xml:space="preserve"> denomina resolución del contrato sería el derecho del contratante a darlo por terminado en los casos por ella previstos. Cuando una parte incumple, la perjudicad</w:t>
      </w:r>
      <w:r w:rsidR="008B4F98">
        <w:rPr>
          <w:rFonts w:ascii="Times New Roman" w:hAnsi="Times New Roman" w:cs="Times New Roman"/>
          <w:sz w:val="28"/>
          <w:szCs w:val="28"/>
          <w:lang w:val="es-MX"/>
        </w:rPr>
        <w:t>a</w:t>
      </w:r>
      <w:r>
        <w:rPr>
          <w:rFonts w:ascii="Times New Roman" w:hAnsi="Times New Roman" w:cs="Times New Roman"/>
          <w:sz w:val="28"/>
          <w:szCs w:val="28"/>
          <w:lang w:val="es-MX"/>
        </w:rPr>
        <w:t xml:space="preserve"> puede  pedir </w:t>
      </w:r>
      <w:r w:rsidR="008B4F98">
        <w:rPr>
          <w:rFonts w:ascii="Times New Roman" w:hAnsi="Times New Roman" w:cs="Times New Roman"/>
          <w:sz w:val="28"/>
          <w:szCs w:val="28"/>
          <w:lang w:val="es-MX"/>
        </w:rPr>
        <w:t>a</w:t>
      </w:r>
      <w:r>
        <w:rPr>
          <w:rFonts w:ascii="Times New Roman" w:hAnsi="Times New Roman" w:cs="Times New Roman"/>
          <w:sz w:val="28"/>
          <w:szCs w:val="28"/>
          <w:lang w:val="es-MX"/>
        </w:rPr>
        <w:t>l juez el cumplimiento del contrato o su resolución  más daños y perjuicios, acción que en los contratos de tracto sucesivo, como por ejemplo el de suministro</w:t>
      </w:r>
      <w:r w:rsidR="008B4F98">
        <w:rPr>
          <w:rFonts w:ascii="Times New Roman" w:hAnsi="Times New Roman" w:cs="Times New Roman"/>
          <w:sz w:val="28"/>
          <w:szCs w:val="28"/>
          <w:lang w:val="es-MX"/>
        </w:rPr>
        <w:t>,</w:t>
      </w:r>
      <w:r>
        <w:rPr>
          <w:rFonts w:ascii="Times New Roman" w:hAnsi="Times New Roman" w:cs="Times New Roman"/>
          <w:sz w:val="28"/>
          <w:szCs w:val="28"/>
          <w:lang w:val="es-MX"/>
        </w:rPr>
        <w:t xml:space="preserve"> se denomina de terminación. Estas opciones surgen en el supuesto de que el contrato es válido. </w:t>
      </w:r>
      <w:r w:rsidR="008B4F98">
        <w:rPr>
          <w:rFonts w:ascii="Times New Roman" w:hAnsi="Times New Roman" w:cs="Times New Roman"/>
          <w:sz w:val="28"/>
          <w:szCs w:val="28"/>
          <w:lang w:val="es-MX"/>
        </w:rPr>
        <w:t xml:space="preserve">Por vicios de fondo o de forma un juez puede declarar la nulidad del contrato.  Este es otro supuesto. De la validez del contrato no se ocupa </w:t>
      </w:r>
      <w:smartTag w:uri="urn:schemas-microsoft-com:office:smarttags" w:element="PersonName">
        <w:smartTagPr>
          <w:attr w:name="ProductID" w:val="la CV"/>
        </w:smartTagPr>
        <w:r w:rsidR="008B4F98">
          <w:rPr>
            <w:rFonts w:ascii="Times New Roman" w:hAnsi="Times New Roman" w:cs="Times New Roman"/>
            <w:sz w:val="28"/>
            <w:szCs w:val="28"/>
            <w:lang w:val="es-MX"/>
          </w:rPr>
          <w:t>la CV</w:t>
        </w:r>
      </w:smartTag>
      <w:r w:rsidR="008B4F98">
        <w:rPr>
          <w:rFonts w:ascii="Times New Roman" w:hAnsi="Times New Roman" w:cs="Times New Roman"/>
          <w:sz w:val="28"/>
          <w:szCs w:val="28"/>
          <w:lang w:val="es-MX"/>
        </w:rPr>
        <w:t xml:space="preserve">, en conformidad al artículo 4 de la misma. La terminación del contrato por mutuo acuerdo se denomina resciliación. Los casos de rescisión por vicios ocultos o redhibitorios o por lesión enorme atienen a nulidades especiales. Es necesario </w:t>
      </w:r>
      <w:r w:rsidR="00C830C0">
        <w:rPr>
          <w:rFonts w:ascii="Times New Roman" w:hAnsi="Times New Roman" w:cs="Times New Roman"/>
          <w:sz w:val="28"/>
          <w:szCs w:val="28"/>
          <w:lang w:val="es-MX"/>
        </w:rPr>
        <w:t xml:space="preserve">tener presente </w:t>
      </w:r>
      <w:r w:rsidR="008B4F98">
        <w:rPr>
          <w:rFonts w:ascii="Times New Roman" w:hAnsi="Times New Roman" w:cs="Times New Roman"/>
          <w:sz w:val="28"/>
          <w:szCs w:val="28"/>
          <w:lang w:val="es-MX"/>
        </w:rPr>
        <w:t xml:space="preserve">que </w:t>
      </w:r>
      <w:smartTag w:uri="urn:schemas-microsoft-com:office:smarttags" w:element="PersonName">
        <w:smartTagPr>
          <w:attr w:name="ProductID" w:val="la CV"/>
        </w:smartTagPr>
        <w:r w:rsidR="008B4F98">
          <w:rPr>
            <w:rFonts w:ascii="Times New Roman" w:hAnsi="Times New Roman" w:cs="Times New Roman"/>
            <w:sz w:val="28"/>
            <w:szCs w:val="28"/>
            <w:lang w:val="es-MX"/>
          </w:rPr>
          <w:t>la CV</w:t>
        </w:r>
      </w:smartTag>
      <w:r w:rsidR="008B4F98">
        <w:rPr>
          <w:rFonts w:ascii="Times New Roman" w:hAnsi="Times New Roman" w:cs="Times New Roman"/>
          <w:sz w:val="28"/>
          <w:szCs w:val="28"/>
          <w:lang w:val="es-MX"/>
        </w:rPr>
        <w:t xml:space="preserve"> y la jurisprudencia no observan necesariamente el esquema anterior y por ello antes que al uso de los términos se ha de estar</w:t>
      </w:r>
      <w:r w:rsidR="00C830C0">
        <w:rPr>
          <w:rFonts w:ascii="Times New Roman" w:hAnsi="Times New Roman" w:cs="Times New Roman"/>
          <w:sz w:val="28"/>
          <w:szCs w:val="28"/>
          <w:lang w:val="es-MX"/>
        </w:rPr>
        <w:t xml:space="preserve"> al fondo del asunto de que se trate.</w:t>
      </w:r>
    </w:p>
    <w:p w:rsidR="00CF0EFB" w:rsidRDefault="00CF0EFB" w:rsidP="00FE170E">
      <w:pPr>
        <w:spacing w:line="360" w:lineRule="auto"/>
        <w:ind w:left="357"/>
        <w:jc w:val="both"/>
        <w:rPr>
          <w:rFonts w:ascii="Times New Roman" w:hAnsi="Times New Roman" w:cs="Times New Roman"/>
          <w:sz w:val="28"/>
          <w:szCs w:val="28"/>
          <w:lang w:val="es-MX"/>
        </w:rPr>
      </w:pPr>
    </w:p>
    <w:p w:rsidR="00CF0EFB" w:rsidRDefault="00CF0EFB"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lastRenderedPageBreak/>
        <w:t xml:space="preserve">Según el artículo 49 1) b) la </w:t>
      </w:r>
      <w:r w:rsidR="005E454C">
        <w:rPr>
          <w:rFonts w:ascii="Times New Roman" w:hAnsi="Times New Roman" w:cs="Times New Roman"/>
          <w:sz w:val="28"/>
          <w:szCs w:val="28"/>
          <w:lang w:val="es-MX"/>
        </w:rPr>
        <w:t>resolución puede darse por vencimiento del plazo de gracia. También se debe considerar la posibilidad de la resolución anticipada prevista en el artículo 72 1) en los casos que fuere patente el incumplimiento por una de las partes.</w:t>
      </w:r>
    </w:p>
    <w:p w:rsidR="000847C9" w:rsidRDefault="000847C9" w:rsidP="00FE170E">
      <w:pPr>
        <w:spacing w:line="360" w:lineRule="auto"/>
        <w:ind w:left="357"/>
        <w:jc w:val="both"/>
        <w:rPr>
          <w:rFonts w:ascii="Times New Roman" w:hAnsi="Times New Roman" w:cs="Times New Roman"/>
          <w:sz w:val="28"/>
          <w:szCs w:val="28"/>
          <w:lang w:val="es-MX"/>
        </w:rPr>
      </w:pPr>
    </w:p>
    <w:p w:rsidR="00FF6A53" w:rsidRDefault="000847C9"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Entre los remedios que persiguen el saneamiento del perjuicio sufrido destaca el principio consagrado en el artículo 45 2) que establece que el comprador no perderá el derecho a la acción de daños y perjuicios aunque ejercite cualquiera otra</w:t>
      </w:r>
      <w:r w:rsidR="00FF6A53">
        <w:rPr>
          <w:rFonts w:ascii="Times New Roman" w:hAnsi="Times New Roman" w:cs="Times New Roman"/>
          <w:sz w:val="28"/>
          <w:szCs w:val="28"/>
          <w:lang w:val="es-MX"/>
        </w:rPr>
        <w:t xml:space="preserve">. Esta acción puede ser única o complementaria de otras. Bien hace </w:t>
      </w:r>
      <w:smartTag w:uri="urn:schemas-microsoft-com:office:smarttags" w:element="PersonName">
        <w:smartTagPr>
          <w:attr w:name="ProductID" w:val="la CV"/>
        </w:smartTagPr>
        <w:r w:rsidR="00FF6A53">
          <w:rPr>
            <w:rFonts w:ascii="Times New Roman" w:hAnsi="Times New Roman" w:cs="Times New Roman"/>
            <w:sz w:val="28"/>
            <w:szCs w:val="28"/>
            <w:lang w:val="es-MX"/>
          </w:rPr>
          <w:t>la CV</w:t>
        </w:r>
      </w:smartTag>
      <w:r w:rsidR="00FF6A53">
        <w:rPr>
          <w:rFonts w:ascii="Times New Roman" w:hAnsi="Times New Roman" w:cs="Times New Roman"/>
          <w:sz w:val="28"/>
          <w:szCs w:val="28"/>
          <w:lang w:val="es-MX"/>
        </w:rPr>
        <w:t xml:space="preserve"> en no  hacer alusión al daño moral. Al tratarse de un contrato que pertenece al fuero mercantil tal enfoque resultaría extraño. Dentro de la perspectiva del derecho privado podría eventualmente considerarse tal posibilidad.</w:t>
      </w:r>
    </w:p>
    <w:p w:rsidR="00FF6A53" w:rsidRDefault="00FF6A53" w:rsidP="00FE170E">
      <w:pPr>
        <w:spacing w:line="360" w:lineRule="auto"/>
        <w:ind w:left="357"/>
        <w:jc w:val="both"/>
        <w:rPr>
          <w:rFonts w:ascii="Times New Roman" w:hAnsi="Times New Roman" w:cs="Times New Roman"/>
          <w:sz w:val="28"/>
          <w:szCs w:val="28"/>
          <w:lang w:val="es-MX"/>
        </w:rPr>
      </w:pPr>
    </w:p>
    <w:p w:rsidR="003C24D9" w:rsidRDefault="00FF6A53" w:rsidP="00FE170E">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La acción de reducción de precio difiere de la de la de indemnización de daños y perju</w:t>
      </w:r>
      <w:r w:rsidR="00CD0598">
        <w:rPr>
          <w:rFonts w:ascii="Times New Roman" w:hAnsi="Times New Roman" w:cs="Times New Roman"/>
          <w:sz w:val="28"/>
          <w:szCs w:val="28"/>
          <w:lang w:val="es-MX"/>
        </w:rPr>
        <w:t>icios. La primera pretende se entregue al comprador dinero en compensac</w:t>
      </w:r>
      <w:r w:rsidR="005377C6">
        <w:rPr>
          <w:rFonts w:ascii="Times New Roman" w:hAnsi="Times New Roman" w:cs="Times New Roman"/>
          <w:sz w:val="28"/>
          <w:szCs w:val="28"/>
          <w:lang w:val="es-MX"/>
        </w:rPr>
        <w:t>ión de la pérdida ocasionada, l</w:t>
      </w:r>
      <w:r w:rsidR="00CD0598">
        <w:rPr>
          <w:rFonts w:ascii="Times New Roman" w:hAnsi="Times New Roman" w:cs="Times New Roman"/>
          <w:sz w:val="28"/>
          <w:szCs w:val="28"/>
          <w:lang w:val="es-MX"/>
        </w:rPr>
        <w:t>a segunda sirve para restablecer  el equilibrio del contrato.</w:t>
      </w:r>
      <w:r w:rsidR="005377C6">
        <w:rPr>
          <w:rFonts w:ascii="Times New Roman" w:hAnsi="Times New Roman" w:cs="Times New Roman"/>
          <w:sz w:val="28"/>
          <w:szCs w:val="28"/>
          <w:lang w:val="es-MX"/>
        </w:rPr>
        <w:t xml:space="preserve"> El comprador puede las mercaderías en el caso del artículo 86 hasta que se le reembolse los gastos  que razonablemente hubiere realizado, cuanto tenga la intenci</w:t>
      </w:r>
      <w:r w:rsidR="003C24D9">
        <w:rPr>
          <w:rFonts w:ascii="Times New Roman" w:hAnsi="Times New Roman" w:cs="Times New Roman"/>
          <w:sz w:val="28"/>
          <w:szCs w:val="28"/>
          <w:lang w:val="es-MX"/>
        </w:rPr>
        <w:t xml:space="preserve">ón </w:t>
      </w:r>
      <w:r w:rsidR="005377C6">
        <w:rPr>
          <w:rFonts w:ascii="Times New Roman" w:hAnsi="Times New Roman" w:cs="Times New Roman"/>
          <w:sz w:val="28"/>
          <w:szCs w:val="28"/>
          <w:lang w:val="es-MX"/>
        </w:rPr>
        <w:t>de rechazarlas en conformidad con el artículo 86 1). Según el artículo 78 corren intereses por las sumas adeudadas, sin perjuicio de</w:t>
      </w:r>
      <w:r w:rsidR="007433D1">
        <w:rPr>
          <w:rFonts w:ascii="Times New Roman" w:hAnsi="Times New Roman" w:cs="Times New Roman"/>
          <w:sz w:val="28"/>
          <w:szCs w:val="28"/>
          <w:lang w:val="es-MX"/>
        </w:rPr>
        <w:t>l derecho de reclamar daños y perjuicios. Débese entender que los intereses son resarcitorios  de parte de los perjuicios. El tipo de interés debe ser definido por el derecho interno. En el  país de acuerdo al Código Civil, supletorio para el ámbito mercantil</w:t>
      </w:r>
      <w:r w:rsidR="00990938">
        <w:rPr>
          <w:rFonts w:ascii="Times New Roman" w:hAnsi="Times New Roman" w:cs="Times New Roman"/>
          <w:sz w:val="28"/>
          <w:szCs w:val="28"/>
          <w:lang w:val="es-MX"/>
        </w:rPr>
        <w:t>,</w:t>
      </w:r>
      <w:r w:rsidR="007433D1">
        <w:rPr>
          <w:rFonts w:ascii="Times New Roman" w:hAnsi="Times New Roman" w:cs="Times New Roman"/>
          <w:sz w:val="28"/>
          <w:szCs w:val="28"/>
          <w:lang w:val="es-MX"/>
        </w:rPr>
        <w:t xml:space="preserve"> no procede acumular los dos rubros, o se cobra intereses o se reclama daños y perjuicios. El artículo 202 del Código de Comercio hiere el punto y sobre el pago del precio</w:t>
      </w:r>
      <w:r w:rsidR="00990938">
        <w:rPr>
          <w:rFonts w:ascii="Times New Roman" w:hAnsi="Times New Roman" w:cs="Times New Roman"/>
          <w:sz w:val="28"/>
          <w:szCs w:val="28"/>
          <w:lang w:val="es-MX"/>
        </w:rPr>
        <w:t>,</w:t>
      </w:r>
      <w:r w:rsidR="007433D1">
        <w:rPr>
          <w:rFonts w:ascii="Times New Roman" w:hAnsi="Times New Roman" w:cs="Times New Roman"/>
          <w:sz w:val="28"/>
          <w:szCs w:val="28"/>
          <w:lang w:val="es-MX"/>
        </w:rPr>
        <w:t xml:space="preserve"> manda que: </w:t>
      </w:r>
      <w:r w:rsidR="007433D1" w:rsidRPr="00990938">
        <w:rPr>
          <w:rFonts w:ascii="Times New Roman" w:hAnsi="Times New Roman" w:cs="Times New Roman"/>
          <w:i/>
          <w:sz w:val="28"/>
          <w:szCs w:val="28"/>
          <w:lang w:val="es-MX"/>
        </w:rPr>
        <w:t xml:space="preserve">La demora en el pago del precio de la cosa comprada desde que </w:t>
      </w:r>
      <w:r w:rsidR="007433D1" w:rsidRPr="00990938">
        <w:rPr>
          <w:rFonts w:ascii="Times New Roman" w:hAnsi="Times New Roman" w:cs="Times New Roman"/>
          <w:i/>
          <w:sz w:val="28"/>
          <w:szCs w:val="28"/>
          <w:lang w:val="es-MX"/>
        </w:rPr>
        <w:lastRenderedPageBreak/>
        <w:t>debía verificarse, según los términos del contrato, constituye al comprador en obligación de pagar el rédito mercantil de la cantidad que adeuda el vendedor</w:t>
      </w:r>
      <w:r w:rsidR="003C24D9">
        <w:rPr>
          <w:rFonts w:ascii="Times New Roman" w:hAnsi="Times New Roman" w:cs="Times New Roman"/>
          <w:sz w:val="28"/>
          <w:szCs w:val="28"/>
          <w:lang w:val="es-MX"/>
        </w:rPr>
        <w:t>.</w:t>
      </w:r>
    </w:p>
    <w:p w:rsidR="00990938" w:rsidRDefault="003C24D9"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8.2. </w:t>
      </w:r>
      <w:r w:rsidR="00990938">
        <w:rPr>
          <w:rFonts w:ascii="Times New Roman" w:hAnsi="Times New Roman" w:cs="Times New Roman"/>
          <w:sz w:val="28"/>
          <w:szCs w:val="28"/>
          <w:lang w:val="es-MX"/>
        </w:rPr>
        <w:t>Con esquema semejante se e</w:t>
      </w:r>
      <w:r>
        <w:rPr>
          <w:rFonts w:ascii="Times New Roman" w:hAnsi="Times New Roman" w:cs="Times New Roman"/>
          <w:sz w:val="28"/>
          <w:szCs w:val="28"/>
          <w:lang w:val="es-MX"/>
        </w:rPr>
        <w:t xml:space="preserve">studia los remedios a favor del </w:t>
      </w:r>
      <w:r w:rsidR="00990938">
        <w:rPr>
          <w:rFonts w:ascii="Times New Roman" w:hAnsi="Times New Roman" w:cs="Times New Roman"/>
          <w:sz w:val="28"/>
          <w:szCs w:val="28"/>
          <w:lang w:val="es-MX"/>
        </w:rPr>
        <w:t>vendedor en caso de in</w:t>
      </w:r>
      <w:r w:rsidR="00FF15F2">
        <w:rPr>
          <w:rFonts w:ascii="Times New Roman" w:hAnsi="Times New Roman" w:cs="Times New Roman"/>
          <w:sz w:val="28"/>
          <w:szCs w:val="28"/>
          <w:lang w:val="es-MX"/>
        </w:rPr>
        <w:t xml:space="preserve">cumplimiento del comprador. El artículo 63 1) faculta al vendedor conceder al comprador un plazo de gracia al comprador para que pague el precio. </w:t>
      </w:r>
      <w:r w:rsidR="001E787B">
        <w:rPr>
          <w:rFonts w:ascii="Times New Roman" w:hAnsi="Times New Roman" w:cs="Times New Roman"/>
          <w:sz w:val="28"/>
          <w:szCs w:val="28"/>
          <w:lang w:val="es-MX"/>
        </w:rPr>
        <w:t xml:space="preserve">Según el artículo 65 de </w:t>
      </w:r>
      <w:smartTag w:uri="urn:schemas-microsoft-com:office:smarttags" w:element="PersonName">
        <w:smartTagPr>
          <w:attr w:name="ProductID" w:val="la CV"/>
        </w:smartTagPr>
        <w:r w:rsidR="001E787B">
          <w:rPr>
            <w:rFonts w:ascii="Times New Roman" w:hAnsi="Times New Roman" w:cs="Times New Roman"/>
            <w:sz w:val="28"/>
            <w:szCs w:val="28"/>
            <w:lang w:val="es-MX"/>
          </w:rPr>
          <w:t>la CV</w:t>
        </w:r>
      </w:smartTag>
      <w:r w:rsidR="001E787B">
        <w:rPr>
          <w:rFonts w:ascii="Times New Roman" w:hAnsi="Times New Roman" w:cs="Times New Roman"/>
          <w:sz w:val="28"/>
          <w:szCs w:val="28"/>
          <w:lang w:val="es-MX"/>
        </w:rPr>
        <w:t xml:space="preserve"> el vendedor, ante la mora del comprador en hacerlo, podrá efectuar la especificación de las mercaderías</w:t>
      </w:r>
      <w:r w:rsidR="00ED75E1">
        <w:rPr>
          <w:rFonts w:ascii="Times New Roman" w:hAnsi="Times New Roman" w:cs="Times New Roman"/>
          <w:sz w:val="28"/>
          <w:szCs w:val="28"/>
          <w:lang w:val="es-MX"/>
        </w:rPr>
        <w:t xml:space="preserve"> definiendo sus formas, dimensiones y otras características.. Tal especificación será comunicada al vendedor. Según el artículo 71 2) el vendedor que habiendo expedido las mercaderías y con posterioridad a ello surgieren motivos evidentes de incumplimiento del comprador, podrá oponerse a la entrega de las mismas. Sería el caso de insolvencia supeviniente del comprador.</w:t>
      </w:r>
      <w:r>
        <w:rPr>
          <w:rFonts w:ascii="Times New Roman" w:hAnsi="Times New Roman" w:cs="Times New Roman"/>
          <w:sz w:val="28"/>
          <w:szCs w:val="28"/>
          <w:lang w:val="es-MX"/>
        </w:rPr>
        <w:t xml:space="preserve"> Este fenómeno es conocido como </w:t>
      </w:r>
      <w:r w:rsidRPr="003C24D9">
        <w:rPr>
          <w:rFonts w:ascii="Times New Roman" w:hAnsi="Times New Roman" w:cs="Times New Roman"/>
          <w:i/>
          <w:sz w:val="28"/>
          <w:szCs w:val="28"/>
          <w:lang w:val="es-MX"/>
        </w:rPr>
        <w:t>stoppage in transitu</w:t>
      </w:r>
      <w:r>
        <w:rPr>
          <w:rFonts w:ascii="Times New Roman" w:hAnsi="Times New Roman" w:cs="Times New Roman"/>
          <w:sz w:val="28"/>
          <w:szCs w:val="28"/>
          <w:lang w:val="es-MX"/>
        </w:rPr>
        <w:t>. Igualmente podría reclamar daños y perjuicios en los mismos términos que  el comprador.</w:t>
      </w:r>
    </w:p>
    <w:p w:rsidR="003C24D9" w:rsidRDefault="003C24D9" w:rsidP="003C24D9">
      <w:pPr>
        <w:spacing w:line="360" w:lineRule="auto"/>
        <w:ind w:left="357"/>
        <w:jc w:val="both"/>
        <w:rPr>
          <w:rFonts w:ascii="Times New Roman" w:hAnsi="Times New Roman" w:cs="Times New Roman"/>
          <w:sz w:val="28"/>
          <w:szCs w:val="28"/>
          <w:lang w:val="es-MX"/>
        </w:rPr>
      </w:pPr>
    </w:p>
    <w:p w:rsidR="003C24D9" w:rsidRDefault="003C24D9"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vendedor puede resolver el contrato según lo previsto en el artículo 64 </w:t>
      </w:r>
      <w:r w:rsidR="000E028E">
        <w:rPr>
          <w:rFonts w:ascii="Times New Roman" w:hAnsi="Times New Roman" w:cs="Times New Roman"/>
          <w:sz w:val="28"/>
          <w:szCs w:val="28"/>
          <w:lang w:val="es-MX"/>
        </w:rPr>
        <w:t xml:space="preserve">ante el incumplimiento de </w:t>
      </w:r>
      <w:r w:rsidR="00463EB4">
        <w:rPr>
          <w:rFonts w:ascii="Times New Roman" w:hAnsi="Times New Roman" w:cs="Times New Roman"/>
          <w:sz w:val="28"/>
          <w:szCs w:val="28"/>
          <w:lang w:val="es-MX"/>
        </w:rPr>
        <w:t>cualquier</w:t>
      </w:r>
      <w:r w:rsidR="000E028E">
        <w:rPr>
          <w:rFonts w:ascii="Times New Roman" w:hAnsi="Times New Roman" w:cs="Times New Roman"/>
          <w:sz w:val="28"/>
          <w:szCs w:val="28"/>
          <w:lang w:val="es-MX"/>
        </w:rPr>
        <w:t xml:space="preserve"> clase de obligaciones por parte del comprador, singularmente </w:t>
      </w:r>
      <w:r w:rsidR="00463EB4">
        <w:rPr>
          <w:rFonts w:ascii="Times New Roman" w:hAnsi="Times New Roman" w:cs="Times New Roman"/>
          <w:sz w:val="28"/>
          <w:szCs w:val="28"/>
          <w:lang w:val="es-MX"/>
        </w:rPr>
        <w:t xml:space="preserve"> si no paga el precio. La disposición en sus varios numerales y literales regula casos especiales en lo que el vendedor  pierde el derecho a declarar resuelto el contrato. En caso de retención de las mercaderías expuestas a deterioro </w:t>
      </w:r>
      <w:r w:rsidR="00B91F16">
        <w:rPr>
          <w:rFonts w:ascii="Times New Roman" w:hAnsi="Times New Roman" w:cs="Times New Roman"/>
          <w:sz w:val="28"/>
          <w:szCs w:val="28"/>
          <w:lang w:val="es-MX"/>
        </w:rPr>
        <w:t>rápido</w:t>
      </w:r>
      <w:r w:rsidR="00463EB4">
        <w:rPr>
          <w:rFonts w:ascii="Times New Roman" w:hAnsi="Times New Roman" w:cs="Times New Roman"/>
          <w:sz w:val="28"/>
          <w:szCs w:val="28"/>
          <w:lang w:val="es-MX"/>
        </w:rPr>
        <w:t xml:space="preserve"> o si su conservación </w:t>
      </w:r>
      <w:r w:rsidR="00B91F16">
        <w:rPr>
          <w:rFonts w:ascii="Times New Roman" w:hAnsi="Times New Roman" w:cs="Times New Roman"/>
          <w:sz w:val="28"/>
          <w:szCs w:val="28"/>
          <w:lang w:val="es-MX"/>
        </w:rPr>
        <w:t>entraña</w:t>
      </w:r>
      <w:r w:rsidR="00463EB4">
        <w:rPr>
          <w:rFonts w:ascii="Times New Roman" w:hAnsi="Times New Roman" w:cs="Times New Roman"/>
          <w:sz w:val="28"/>
          <w:szCs w:val="28"/>
          <w:lang w:val="es-MX"/>
        </w:rPr>
        <w:t xml:space="preserve"> gastos exce</w:t>
      </w:r>
      <w:r w:rsidR="00B91F16">
        <w:rPr>
          <w:rFonts w:ascii="Times New Roman" w:hAnsi="Times New Roman" w:cs="Times New Roman"/>
          <w:sz w:val="28"/>
          <w:szCs w:val="28"/>
          <w:lang w:val="es-MX"/>
        </w:rPr>
        <w:t>sivos</w:t>
      </w:r>
      <w:r w:rsidR="00463EB4">
        <w:rPr>
          <w:rFonts w:ascii="Times New Roman" w:hAnsi="Times New Roman" w:cs="Times New Roman"/>
          <w:sz w:val="28"/>
          <w:szCs w:val="28"/>
          <w:lang w:val="es-MX"/>
        </w:rPr>
        <w:t>, el  vendedor podrá adoptar medidas para  venderlas</w:t>
      </w:r>
      <w:r w:rsidR="00B91F16">
        <w:rPr>
          <w:rFonts w:ascii="Times New Roman" w:hAnsi="Times New Roman" w:cs="Times New Roman"/>
          <w:sz w:val="28"/>
          <w:szCs w:val="28"/>
          <w:lang w:val="es-MX"/>
        </w:rPr>
        <w:t>, teniendo derecho a retener una suma igual a los gastos realizados. Así lo prevé el artículo 85.</w:t>
      </w:r>
    </w:p>
    <w:p w:rsidR="00B91F16" w:rsidRDefault="00B91F16" w:rsidP="003C24D9">
      <w:pPr>
        <w:spacing w:line="360" w:lineRule="auto"/>
        <w:ind w:left="357"/>
        <w:jc w:val="both"/>
        <w:rPr>
          <w:rFonts w:ascii="Times New Roman" w:hAnsi="Times New Roman" w:cs="Times New Roman"/>
          <w:sz w:val="28"/>
          <w:szCs w:val="28"/>
          <w:lang w:val="es-MX"/>
        </w:rPr>
      </w:pPr>
    </w:p>
    <w:p w:rsidR="00E82C0B" w:rsidRDefault="00B91F16"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8.3. </w:t>
      </w:r>
      <w:r w:rsidR="008B4E82">
        <w:rPr>
          <w:rFonts w:ascii="Times New Roman" w:hAnsi="Times New Roman" w:cs="Times New Roman"/>
          <w:sz w:val="28"/>
          <w:szCs w:val="28"/>
          <w:lang w:val="es-MX"/>
        </w:rPr>
        <w:t xml:space="preserve">El Título V de </w:t>
      </w:r>
      <w:smartTag w:uri="urn:schemas-microsoft-com:office:smarttags" w:element="PersonName">
        <w:smartTagPr>
          <w:attr w:name="ProductID" w:val="la CV"/>
        </w:smartTagPr>
        <w:r w:rsidR="008B4E82">
          <w:rPr>
            <w:rFonts w:ascii="Times New Roman" w:hAnsi="Times New Roman" w:cs="Times New Roman"/>
            <w:sz w:val="28"/>
            <w:szCs w:val="28"/>
            <w:lang w:val="es-MX"/>
          </w:rPr>
          <w:t>la CV</w:t>
        </w:r>
      </w:smartTag>
      <w:r w:rsidR="008B4E82">
        <w:rPr>
          <w:rFonts w:ascii="Times New Roman" w:hAnsi="Times New Roman" w:cs="Times New Roman"/>
          <w:sz w:val="28"/>
          <w:szCs w:val="28"/>
          <w:lang w:val="es-MX"/>
        </w:rPr>
        <w:t xml:space="preserve"> contempla las disposiciones comunes a las obligaciones del vendedor y del comprador</w:t>
      </w:r>
      <w:r w:rsidR="00E82C0B">
        <w:rPr>
          <w:rFonts w:ascii="Times New Roman" w:hAnsi="Times New Roman" w:cs="Times New Roman"/>
          <w:sz w:val="28"/>
          <w:szCs w:val="28"/>
          <w:lang w:val="es-MX"/>
        </w:rPr>
        <w:t xml:space="preserve">. Dentro de él constan los </w:t>
      </w:r>
      <w:r w:rsidR="00E82C0B">
        <w:rPr>
          <w:rFonts w:ascii="Times New Roman" w:hAnsi="Times New Roman" w:cs="Times New Roman"/>
          <w:sz w:val="28"/>
          <w:szCs w:val="28"/>
          <w:lang w:val="es-MX"/>
        </w:rPr>
        <w:lastRenderedPageBreak/>
        <w:t>artículos 71 al 73  atinentes al incumplimiento previsible y a los contratos con entregas sucesivas. Al ser el contrato internacional de compraventa de mercaderías un contrato consensual, que se perfecciona por el mero consentimiento, bilateral, que genera mutuas obligaciones entre las partes y conmutativo por cuanto las obligaciones generadas se miran como equivalentes, el tratamiento respecto de los incumplimientos y de las reclamaciones ha de ser equilibrado. De allí que muchas cuestiones analizada que incumben al comprador corren parejas respecto del vendedor. Obviamente, cada una de las partes juega un rol peculiar. En este apartado se enfatiza aquellos aspectos que les son comunes.</w:t>
      </w:r>
      <w:r w:rsidR="00B43FAB">
        <w:rPr>
          <w:rFonts w:ascii="Times New Roman" w:hAnsi="Times New Roman" w:cs="Times New Roman"/>
          <w:sz w:val="28"/>
          <w:szCs w:val="28"/>
          <w:lang w:val="es-MX"/>
        </w:rPr>
        <w:t xml:space="preserve"> Para afrontar es</w:t>
      </w:r>
      <w:r w:rsidR="000B064F">
        <w:rPr>
          <w:rFonts w:ascii="Times New Roman" w:hAnsi="Times New Roman" w:cs="Times New Roman"/>
          <w:sz w:val="28"/>
          <w:szCs w:val="28"/>
          <w:lang w:val="es-MX"/>
        </w:rPr>
        <w:t xml:space="preserve"> </w:t>
      </w:r>
      <w:r w:rsidR="00B43FAB">
        <w:rPr>
          <w:rFonts w:ascii="Times New Roman" w:hAnsi="Times New Roman" w:cs="Times New Roman"/>
          <w:sz w:val="28"/>
          <w:szCs w:val="28"/>
          <w:lang w:val="es-MX"/>
        </w:rPr>
        <w:t>te Ítem</w:t>
      </w:r>
      <w:r w:rsidR="000B064F">
        <w:rPr>
          <w:rFonts w:ascii="Times New Roman" w:hAnsi="Times New Roman" w:cs="Times New Roman"/>
          <w:sz w:val="28"/>
          <w:szCs w:val="28"/>
          <w:lang w:val="es-MX"/>
        </w:rPr>
        <w:t xml:space="preserve"> y comprender de la mejor manera los indicados artículos 71, 72  y 73  es útil el esquema que propone Vázquez Lépinete. Este autor diferencia entre el caso en que el incumplimiento no se ha producido pero la situación económica del deudor se ha deteriorado; aquél en el que sin existir incumplimiento del deudor es patente que incumplirá las obligaciones que le incumben; y, el caso de incumplimiento de una de las entregas</w:t>
      </w:r>
      <w:r w:rsidR="000B064F">
        <w:rPr>
          <w:rStyle w:val="FootnoteReference"/>
          <w:rFonts w:ascii="Times New Roman" w:hAnsi="Times New Roman" w:cs="Times New Roman"/>
          <w:sz w:val="28"/>
          <w:szCs w:val="28"/>
          <w:lang w:val="es-MX"/>
        </w:rPr>
        <w:footnoteReference w:id="46"/>
      </w:r>
      <w:r w:rsidR="000B064F">
        <w:rPr>
          <w:rFonts w:ascii="Times New Roman" w:hAnsi="Times New Roman" w:cs="Times New Roman"/>
          <w:sz w:val="28"/>
          <w:szCs w:val="28"/>
          <w:lang w:val="es-MX"/>
        </w:rPr>
        <w:t>.</w:t>
      </w:r>
    </w:p>
    <w:p w:rsidR="002C7B24" w:rsidRDefault="002C7B24" w:rsidP="003C24D9">
      <w:pPr>
        <w:spacing w:line="360" w:lineRule="auto"/>
        <w:ind w:left="357"/>
        <w:jc w:val="both"/>
        <w:rPr>
          <w:rFonts w:ascii="Times New Roman" w:hAnsi="Times New Roman" w:cs="Times New Roman"/>
          <w:sz w:val="28"/>
          <w:szCs w:val="28"/>
          <w:lang w:val="es-MX"/>
        </w:rPr>
      </w:pPr>
    </w:p>
    <w:p w:rsidR="004C1B3A" w:rsidRDefault="002C7B24"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71 reconoce el derecho de una parte a  suspender la ejecución de sus prestaciones si empeora la situación económica de la otra. Este aserto se basa en el cambio de circunstancias en aplicación deL principio </w:t>
      </w:r>
      <w:r w:rsidRPr="002C7B24">
        <w:rPr>
          <w:rFonts w:ascii="Times New Roman" w:hAnsi="Times New Roman" w:cs="Times New Roman"/>
          <w:i/>
          <w:sz w:val="28"/>
          <w:szCs w:val="28"/>
          <w:lang w:val="es-MX"/>
        </w:rPr>
        <w:t>rebus sic stantibus</w:t>
      </w:r>
      <w:r>
        <w:rPr>
          <w:rFonts w:ascii="Times New Roman" w:hAnsi="Times New Roman" w:cs="Times New Roman"/>
          <w:sz w:val="28"/>
          <w:szCs w:val="28"/>
          <w:lang w:val="es-MX"/>
        </w:rPr>
        <w:t xml:space="preserve">, el cual es de carácter excepcional con relación </w:t>
      </w:r>
      <w:r w:rsidRPr="002C7B24">
        <w:rPr>
          <w:rFonts w:ascii="Times New Roman" w:hAnsi="Times New Roman" w:cs="Times New Roman"/>
          <w:i/>
          <w:sz w:val="28"/>
          <w:szCs w:val="28"/>
          <w:lang w:val="es-MX"/>
        </w:rPr>
        <w:t xml:space="preserve"> pacta sunt servanda</w:t>
      </w:r>
      <w:r w:rsidRPr="002C7B24">
        <w:rPr>
          <w:rFonts w:ascii="Times New Roman" w:hAnsi="Times New Roman" w:cs="Times New Roman"/>
          <w:sz w:val="28"/>
          <w:szCs w:val="28"/>
          <w:lang w:val="es-MX"/>
        </w:rPr>
        <w:t xml:space="preserve"> </w:t>
      </w:r>
      <w:r>
        <w:rPr>
          <w:rFonts w:ascii="Times New Roman" w:hAnsi="Times New Roman" w:cs="Times New Roman"/>
          <w:sz w:val="28"/>
          <w:szCs w:val="28"/>
          <w:lang w:val="es-MX"/>
        </w:rPr>
        <w:t>que es de carácter general y que proclama que se ha de dar cumplimiento estricto a lo pactado. Este planteamiento se encuentra recogido en las Convenciones de Viena sobre los Tratados y se ha convertido</w:t>
      </w:r>
      <w:r w:rsidR="00CD4439">
        <w:rPr>
          <w:rFonts w:ascii="Times New Roman" w:hAnsi="Times New Roman" w:cs="Times New Roman"/>
          <w:sz w:val="28"/>
          <w:szCs w:val="28"/>
          <w:lang w:val="es-MX"/>
        </w:rPr>
        <w:t xml:space="preserve"> en un uso de carácter general. La parte que suspende las prestaciones deberá realizar una apreciación que no se encuentra liberada de subjetivismo. El artículo 71 2</w:t>
      </w:r>
      <w:r w:rsidR="00D163B2">
        <w:rPr>
          <w:rFonts w:ascii="Times New Roman" w:hAnsi="Times New Roman" w:cs="Times New Roman"/>
          <w:sz w:val="28"/>
          <w:szCs w:val="28"/>
          <w:lang w:val="es-MX"/>
        </w:rPr>
        <w:t xml:space="preserve">) </w:t>
      </w:r>
      <w:r w:rsidR="00CD4439">
        <w:rPr>
          <w:rFonts w:ascii="Times New Roman" w:hAnsi="Times New Roman" w:cs="Times New Roman"/>
          <w:sz w:val="28"/>
          <w:szCs w:val="28"/>
          <w:lang w:val="es-MX"/>
        </w:rPr>
        <w:t xml:space="preserve">regula el derecho de del </w:t>
      </w:r>
      <w:r w:rsidR="00CD4439">
        <w:rPr>
          <w:rFonts w:ascii="Times New Roman" w:hAnsi="Times New Roman" w:cs="Times New Roman"/>
          <w:sz w:val="28"/>
          <w:szCs w:val="28"/>
          <w:lang w:val="es-MX"/>
        </w:rPr>
        <w:lastRenderedPageBreak/>
        <w:t>vendedor de detener la entrega de las mercaderías. El numeral 1) concierne a ambas partes contratantes y atañe al derecho de diferir el cumplimiento de sus obligaciones por un grave menoscabo de la capacidad de la otra parte de cumplir sus prestaciones;</w:t>
      </w:r>
      <w:r w:rsidR="00D163B2">
        <w:rPr>
          <w:rFonts w:ascii="Times New Roman" w:hAnsi="Times New Roman" w:cs="Times New Roman"/>
          <w:sz w:val="28"/>
          <w:szCs w:val="28"/>
          <w:lang w:val="es-MX"/>
        </w:rPr>
        <w:t xml:space="preserve"> o,</w:t>
      </w:r>
      <w:r w:rsidR="00CD4439">
        <w:rPr>
          <w:rFonts w:ascii="Times New Roman" w:hAnsi="Times New Roman" w:cs="Times New Roman"/>
          <w:sz w:val="28"/>
          <w:szCs w:val="28"/>
          <w:lang w:val="es-MX"/>
        </w:rPr>
        <w:t xml:space="preserve"> por el comportamiento de la otra parte respecto de su disposición de cumplir el contrato.</w:t>
      </w:r>
      <w:r w:rsidR="00D163B2">
        <w:rPr>
          <w:rFonts w:ascii="Times New Roman" w:hAnsi="Times New Roman" w:cs="Times New Roman"/>
          <w:sz w:val="28"/>
          <w:szCs w:val="28"/>
          <w:lang w:val="es-MX"/>
        </w:rPr>
        <w:t xml:space="preserve"> El diferimento en mención debe ser comunicado a la otra parte, la cual podrá hacerlo cesar si garantiza el cumplimiento.</w:t>
      </w:r>
    </w:p>
    <w:p w:rsidR="00D163B2" w:rsidRDefault="00D163B2" w:rsidP="003C24D9">
      <w:pPr>
        <w:spacing w:line="360" w:lineRule="auto"/>
        <w:ind w:left="357"/>
        <w:jc w:val="both"/>
        <w:rPr>
          <w:rFonts w:ascii="Times New Roman" w:hAnsi="Times New Roman" w:cs="Times New Roman"/>
          <w:sz w:val="28"/>
          <w:szCs w:val="28"/>
          <w:lang w:val="es-MX"/>
        </w:rPr>
      </w:pPr>
    </w:p>
    <w:p w:rsidR="00D163B2" w:rsidRDefault="00D163B2"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72 regula la resolución anticipada, </w:t>
      </w:r>
      <w:r w:rsidRPr="00D163B2">
        <w:rPr>
          <w:rFonts w:ascii="Times New Roman" w:hAnsi="Times New Roman" w:cs="Times New Roman"/>
          <w:i/>
          <w:sz w:val="28"/>
          <w:szCs w:val="28"/>
          <w:lang w:val="es-MX"/>
        </w:rPr>
        <w:t xml:space="preserve">anticipatory breach of </w:t>
      </w:r>
      <w:r w:rsidRPr="00306351">
        <w:rPr>
          <w:rFonts w:ascii="Times New Roman" w:hAnsi="Times New Roman" w:cs="Times New Roman"/>
          <w:i/>
          <w:sz w:val="28"/>
          <w:szCs w:val="28"/>
          <w:lang w:val="es-MX"/>
        </w:rPr>
        <w:t>contract</w:t>
      </w:r>
      <w:r>
        <w:rPr>
          <w:rFonts w:ascii="Times New Roman" w:hAnsi="Times New Roman" w:cs="Times New Roman"/>
          <w:sz w:val="28"/>
          <w:szCs w:val="28"/>
          <w:lang w:val="es-MX"/>
        </w:rPr>
        <w:t xml:space="preserve">. </w:t>
      </w:r>
      <w:r w:rsidR="00306351">
        <w:rPr>
          <w:rFonts w:ascii="Times New Roman" w:hAnsi="Times New Roman" w:cs="Times New Roman"/>
          <w:sz w:val="28"/>
          <w:szCs w:val="28"/>
          <w:lang w:val="es-MX"/>
        </w:rPr>
        <w:t xml:space="preserve">Sus presupuestos son la previsibilidad del </w:t>
      </w:r>
      <w:r w:rsidR="00B7258C">
        <w:rPr>
          <w:rFonts w:ascii="Times New Roman" w:hAnsi="Times New Roman" w:cs="Times New Roman"/>
          <w:sz w:val="28"/>
          <w:szCs w:val="28"/>
          <w:lang w:val="es-MX"/>
        </w:rPr>
        <w:t>incumplimiento que debe tener el carácter de esencial, que sea anterior a la fecha prevista para el cumplimiento y que se notifique a la otra parte la cual podrá rendir garantía de cumplimiento y evitar la resolución anticipada. Respecto de los contratos de entregas sucesivas como los de suministro, el artículo 73  prevé un tratamiento específico por el cual el incumplimiento de alguna de las entregas sucesivas habilita  a declarar la resolución de todas las entregas inclusive de las anteriores.</w:t>
      </w:r>
    </w:p>
    <w:p w:rsidR="00122BF5" w:rsidRDefault="00122BF5" w:rsidP="003C24D9">
      <w:pPr>
        <w:spacing w:line="360" w:lineRule="auto"/>
        <w:ind w:left="357"/>
        <w:jc w:val="both"/>
        <w:rPr>
          <w:rFonts w:ascii="Times New Roman" w:hAnsi="Times New Roman" w:cs="Times New Roman"/>
          <w:sz w:val="28"/>
          <w:szCs w:val="28"/>
          <w:lang w:val="es-MX"/>
        </w:rPr>
      </w:pPr>
    </w:p>
    <w:p w:rsidR="00122BF5" w:rsidRDefault="00122BF5"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9.</w:t>
      </w:r>
      <w:r w:rsidR="00614B22">
        <w:rPr>
          <w:rFonts w:ascii="Times New Roman" w:hAnsi="Times New Roman" w:cs="Times New Roman"/>
          <w:sz w:val="28"/>
          <w:szCs w:val="28"/>
          <w:lang w:val="es-MX"/>
        </w:rPr>
        <w:t>1.</w:t>
      </w:r>
      <w:r w:rsidR="00E10F70">
        <w:rPr>
          <w:rFonts w:ascii="Times New Roman" w:hAnsi="Times New Roman" w:cs="Times New Roman"/>
          <w:sz w:val="28"/>
          <w:szCs w:val="28"/>
          <w:lang w:val="es-MX"/>
        </w:rPr>
        <w:t xml:space="preserve"> En este aparte se afronta el desarrollo anormal del contrato que ocurre por incumplimiento y ciertas peculiaridades de tal desarrollo. Tales tópicos se encuentran regulados en </w:t>
      </w:r>
      <w:smartTag w:uri="urn:schemas-microsoft-com:office:smarttags" w:element="PersonName">
        <w:smartTagPr>
          <w:attr w:name="ProductID" w:val="la CV"/>
        </w:smartTagPr>
        <w:r w:rsidR="00E10F70">
          <w:rPr>
            <w:rFonts w:ascii="Times New Roman" w:hAnsi="Times New Roman" w:cs="Times New Roman"/>
            <w:sz w:val="28"/>
            <w:szCs w:val="28"/>
            <w:lang w:val="es-MX"/>
          </w:rPr>
          <w:t>la CV</w:t>
        </w:r>
      </w:smartTag>
      <w:r w:rsidR="00E10F70">
        <w:rPr>
          <w:rFonts w:ascii="Times New Roman" w:hAnsi="Times New Roman" w:cs="Times New Roman"/>
          <w:sz w:val="28"/>
          <w:szCs w:val="28"/>
          <w:lang w:val="es-MX"/>
        </w:rPr>
        <w:t xml:space="preserve"> e las secciones atinentes a la indemnización de daños y perjuicios, artículos </w:t>
      </w:r>
      <w:smartTag w:uri="urn:schemas-microsoft-com:office:smarttags" w:element="metricconverter">
        <w:smartTagPr>
          <w:attr w:name="ProductID" w:val="74 a"/>
        </w:smartTagPr>
        <w:r w:rsidR="00E10F70">
          <w:rPr>
            <w:rFonts w:ascii="Times New Roman" w:hAnsi="Times New Roman" w:cs="Times New Roman"/>
            <w:sz w:val="28"/>
            <w:szCs w:val="28"/>
            <w:lang w:val="es-MX"/>
          </w:rPr>
          <w:t>74 a</w:t>
        </w:r>
      </w:smartTag>
      <w:r w:rsidR="00E10F70">
        <w:rPr>
          <w:rFonts w:ascii="Times New Roman" w:hAnsi="Times New Roman" w:cs="Times New Roman"/>
          <w:sz w:val="28"/>
          <w:szCs w:val="28"/>
          <w:lang w:val="es-MX"/>
        </w:rPr>
        <w:t xml:space="preserve"> 77; a los intereses, artículo 78; a la exoneración de</w:t>
      </w:r>
      <w:r w:rsidR="00F13CCC">
        <w:rPr>
          <w:rFonts w:ascii="Times New Roman" w:hAnsi="Times New Roman" w:cs="Times New Roman"/>
          <w:sz w:val="28"/>
          <w:szCs w:val="28"/>
          <w:lang w:val="es-MX"/>
        </w:rPr>
        <w:t xml:space="preserve"> incumplimiento</w:t>
      </w:r>
      <w:r w:rsidR="00E10F70">
        <w:rPr>
          <w:rFonts w:ascii="Times New Roman" w:hAnsi="Times New Roman" w:cs="Times New Roman"/>
          <w:sz w:val="28"/>
          <w:szCs w:val="28"/>
          <w:lang w:val="es-MX"/>
        </w:rPr>
        <w:t xml:space="preserve">, artículos 79 y 80; y a los efectos de la resolución, artículos </w:t>
      </w:r>
      <w:smartTag w:uri="urn:schemas-microsoft-com:office:smarttags" w:element="metricconverter">
        <w:smartTagPr>
          <w:attr w:name="ProductID" w:val="81 a"/>
        </w:smartTagPr>
        <w:r w:rsidR="00E10F70">
          <w:rPr>
            <w:rFonts w:ascii="Times New Roman" w:hAnsi="Times New Roman" w:cs="Times New Roman"/>
            <w:sz w:val="28"/>
            <w:szCs w:val="28"/>
            <w:lang w:val="es-MX"/>
          </w:rPr>
          <w:t>81 a</w:t>
        </w:r>
      </w:smartTag>
      <w:r w:rsidR="00E10F70">
        <w:rPr>
          <w:rFonts w:ascii="Times New Roman" w:hAnsi="Times New Roman" w:cs="Times New Roman"/>
          <w:sz w:val="28"/>
          <w:szCs w:val="28"/>
          <w:lang w:val="es-MX"/>
        </w:rPr>
        <w:t xml:space="preserve"> 88.</w:t>
      </w:r>
    </w:p>
    <w:p w:rsidR="00F13CCC" w:rsidRDefault="00F13CCC" w:rsidP="003C24D9">
      <w:pPr>
        <w:spacing w:line="360" w:lineRule="auto"/>
        <w:ind w:left="357"/>
        <w:jc w:val="both"/>
        <w:rPr>
          <w:rFonts w:ascii="Times New Roman" w:hAnsi="Times New Roman" w:cs="Times New Roman"/>
          <w:sz w:val="28"/>
          <w:szCs w:val="28"/>
          <w:lang w:val="es-MX"/>
        </w:rPr>
      </w:pPr>
    </w:p>
    <w:p w:rsidR="00024A6C" w:rsidRDefault="00F13CCC" w:rsidP="003C24D9">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Salvo casos de exoneración, el incumplimiento acarrea el pago de daños y perjuicios. El artículo 74 establece la regla general para el cálculo de los daños y perjuicios; los artículos 75 y 76 complementan el anterior, y señalan los medios de calcular dichos daños y perjuicios, en los casos </w:t>
      </w:r>
      <w:r>
        <w:rPr>
          <w:rFonts w:ascii="Times New Roman" w:hAnsi="Times New Roman" w:cs="Times New Roman"/>
          <w:sz w:val="28"/>
          <w:szCs w:val="28"/>
          <w:lang w:val="es-MX"/>
        </w:rPr>
        <w:lastRenderedPageBreak/>
        <w:t>que parte que cumple resuelve el contrato. Finalmente el artículo 77 establece el principio de la minimización de las pérdidas. Este es planteamiento que hace sobre el tema</w:t>
      </w:r>
      <w:r w:rsidR="00024A6C">
        <w:rPr>
          <w:rFonts w:ascii="Times New Roman" w:hAnsi="Times New Roman" w:cs="Times New Roman"/>
          <w:sz w:val="28"/>
          <w:szCs w:val="28"/>
          <w:lang w:val="es-MX"/>
        </w:rPr>
        <w:t xml:space="preserve"> Vázquez Lépinete</w:t>
      </w:r>
      <w:r w:rsidR="00024A6C">
        <w:rPr>
          <w:rStyle w:val="FootnoteReference"/>
          <w:rFonts w:ascii="Times New Roman" w:hAnsi="Times New Roman" w:cs="Times New Roman"/>
          <w:sz w:val="28"/>
          <w:szCs w:val="28"/>
          <w:lang w:val="es-MX"/>
        </w:rPr>
        <w:footnoteReference w:id="47"/>
      </w:r>
      <w:r w:rsidR="00024A6C">
        <w:rPr>
          <w:rFonts w:ascii="Times New Roman" w:hAnsi="Times New Roman" w:cs="Times New Roman"/>
          <w:sz w:val="28"/>
          <w:szCs w:val="28"/>
          <w:lang w:val="es-MX"/>
        </w:rPr>
        <w:t>.</w:t>
      </w:r>
    </w:p>
    <w:p w:rsidR="00024A6C" w:rsidRDefault="00024A6C" w:rsidP="003C24D9">
      <w:pPr>
        <w:spacing w:line="360" w:lineRule="auto"/>
        <w:ind w:left="357"/>
        <w:jc w:val="both"/>
        <w:rPr>
          <w:rFonts w:ascii="Times New Roman" w:hAnsi="Times New Roman" w:cs="Times New Roman"/>
          <w:sz w:val="28"/>
          <w:szCs w:val="28"/>
          <w:lang w:val="es-MX"/>
        </w:rPr>
      </w:pPr>
    </w:p>
    <w:p w:rsidR="00F13CCC" w:rsidRDefault="00024A6C" w:rsidP="00024A6C">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La regla general del artículo 74 señala que el perjudicado tiene derecho a que se le reconozca las reparación total del daño, </w:t>
      </w:r>
      <w:r w:rsidRPr="00024A6C">
        <w:rPr>
          <w:rFonts w:ascii="Times New Roman" w:hAnsi="Times New Roman" w:cs="Times New Roman"/>
          <w:i/>
          <w:sz w:val="28"/>
          <w:szCs w:val="28"/>
          <w:lang w:val="es-MX"/>
        </w:rPr>
        <w:t>full compensation</w:t>
      </w:r>
      <w:r>
        <w:rPr>
          <w:rFonts w:ascii="Times New Roman" w:hAnsi="Times New Roman" w:cs="Times New Roman"/>
          <w:sz w:val="28"/>
          <w:szCs w:val="28"/>
          <w:lang w:val="es-MX"/>
        </w:rPr>
        <w:t xml:space="preserve">, que comprende el daño emergente y el lucro cesante, en la monea convenida. Si no existe acuerdo sobre la moneda, particular que no está previsto en </w:t>
      </w:r>
      <w:smartTag w:uri="urn:schemas-microsoft-com:office:smarttags" w:element="PersonName">
        <w:smartTagPr>
          <w:attr w:name="ProductID" w:val="la CV"/>
        </w:smartTagPr>
        <w:r>
          <w:rPr>
            <w:rFonts w:ascii="Times New Roman" w:hAnsi="Times New Roman" w:cs="Times New Roman"/>
            <w:sz w:val="28"/>
            <w:szCs w:val="28"/>
            <w:lang w:val="es-MX"/>
          </w:rPr>
          <w:t>la CV</w:t>
        </w:r>
      </w:smartTag>
      <w:r>
        <w:rPr>
          <w:rFonts w:ascii="Times New Roman" w:hAnsi="Times New Roman" w:cs="Times New Roman"/>
          <w:sz w:val="28"/>
          <w:szCs w:val="28"/>
          <w:lang w:val="es-MX"/>
        </w:rPr>
        <w:t>, de acuerdo a la jurisprudencia, podría entenderse que es se ha de hacer en la divisa del lugar del vendedor. La reparación comprende los bienes patrimoniales</w:t>
      </w:r>
      <w:r w:rsidR="00EE4333">
        <w:rPr>
          <w:rFonts w:ascii="Times New Roman" w:hAnsi="Times New Roman" w:cs="Times New Roman"/>
          <w:sz w:val="28"/>
          <w:szCs w:val="28"/>
          <w:lang w:val="es-MX"/>
        </w:rPr>
        <w:t xml:space="preserve">. Se debería entender que también se incluye el </w:t>
      </w:r>
      <w:r w:rsidR="00EE4333" w:rsidRPr="00EE4333">
        <w:rPr>
          <w:rFonts w:ascii="Times New Roman" w:hAnsi="Times New Roman" w:cs="Times New Roman"/>
          <w:i/>
          <w:sz w:val="28"/>
          <w:szCs w:val="28"/>
          <w:lang w:val="es-MX"/>
        </w:rPr>
        <w:t>goodwill</w:t>
      </w:r>
      <w:r w:rsidR="00F13CCC">
        <w:rPr>
          <w:rFonts w:ascii="Times New Roman" w:hAnsi="Times New Roman" w:cs="Times New Roman"/>
          <w:sz w:val="28"/>
          <w:szCs w:val="28"/>
          <w:lang w:val="es-MX"/>
        </w:rPr>
        <w:t xml:space="preserve"> </w:t>
      </w:r>
      <w:r w:rsidR="00EE4333">
        <w:rPr>
          <w:rFonts w:ascii="Times New Roman" w:hAnsi="Times New Roman" w:cs="Times New Roman"/>
          <w:sz w:val="28"/>
          <w:szCs w:val="28"/>
          <w:lang w:val="es-MX"/>
        </w:rPr>
        <w:t>o buen crédito o fama. En cuanto al lucro cesante habría que reconocer sólo aquéllos perjuicios que se sustenta en un grado razonable de certeza, en los términos el principio contenido en el artículo 743 de los Principios de Unidroit. No son aceptables para efecto de resarcir perjuicios, ganancias hipotéticas. No debería tomarse en cuenta las pérdidas previsibles en los términos del artículo 74. Se ha de prever las consecuencias posibles del incumplimiento</w:t>
      </w:r>
      <w:r w:rsidR="00932A09">
        <w:rPr>
          <w:rFonts w:ascii="Times New Roman" w:hAnsi="Times New Roman" w:cs="Times New Roman"/>
          <w:sz w:val="28"/>
          <w:szCs w:val="28"/>
          <w:lang w:val="es-MX"/>
        </w:rPr>
        <w:t xml:space="preserve"> al momento de la conclusión del contrato.</w:t>
      </w:r>
    </w:p>
    <w:p w:rsidR="00932A09" w:rsidRDefault="00932A09" w:rsidP="00024A6C">
      <w:pPr>
        <w:spacing w:line="360" w:lineRule="auto"/>
        <w:ind w:left="357"/>
        <w:jc w:val="both"/>
        <w:rPr>
          <w:rFonts w:ascii="Times New Roman" w:hAnsi="Times New Roman" w:cs="Times New Roman"/>
          <w:sz w:val="28"/>
          <w:szCs w:val="28"/>
          <w:lang w:val="es-MX"/>
        </w:rPr>
      </w:pPr>
    </w:p>
    <w:p w:rsidR="00932A09" w:rsidRDefault="00932A09" w:rsidP="00024A6C">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Para cuantificar y valorizar los daños y perjuicios podría acudirse a los datos del mercado o al coste de una compra o venta en sustitución de la resuelta en el cual el perjudicado tiene derecho a reclamar la diferencia entre el precio de  la venta resuelta y el de la  convenida en sustitución. El artículo 77 contiene una norma inherente a la mitigaci</w:t>
      </w:r>
      <w:r w:rsidR="0041305A">
        <w:rPr>
          <w:rFonts w:ascii="Times New Roman" w:hAnsi="Times New Roman" w:cs="Times New Roman"/>
          <w:sz w:val="28"/>
          <w:szCs w:val="28"/>
          <w:lang w:val="es-MX"/>
        </w:rPr>
        <w:t xml:space="preserve">ón o aminoración de los daños. Mediante ella se consagra la obligación del perjudicado de adoptar las medidas razonables tendidas las </w:t>
      </w:r>
      <w:r w:rsidR="0041305A">
        <w:rPr>
          <w:rFonts w:ascii="Times New Roman" w:hAnsi="Times New Roman" w:cs="Times New Roman"/>
          <w:sz w:val="28"/>
          <w:szCs w:val="28"/>
          <w:lang w:val="es-MX"/>
        </w:rPr>
        <w:lastRenderedPageBreak/>
        <w:t>circunstancias, para reducir las pérdidas. A la otra parte corresponde un derecho a que ello se dé.</w:t>
      </w:r>
    </w:p>
    <w:p w:rsidR="0041305A" w:rsidRDefault="0041305A" w:rsidP="00024A6C">
      <w:pPr>
        <w:spacing w:line="360" w:lineRule="auto"/>
        <w:ind w:left="357"/>
        <w:jc w:val="both"/>
        <w:rPr>
          <w:rFonts w:ascii="Times New Roman" w:hAnsi="Times New Roman" w:cs="Times New Roman"/>
          <w:sz w:val="28"/>
          <w:szCs w:val="28"/>
          <w:lang w:val="es-MX"/>
        </w:rPr>
      </w:pPr>
    </w:p>
    <w:p w:rsidR="0041305A" w:rsidRDefault="0041305A" w:rsidP="0041305A">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78  prevé el pago de intereses para el caso de mora en el incumplimiento de obligaciones pecuniarias como el pago del precio o la devolución del importe de gastos efectuados. Los intereses no son sancionatorios, sino resarcitorios, pues, los mismos constituyen un precio de la economía. Un caso más complejo es el de discernir si cabe intereses y daños y perjuicios, o si los mismos son parte </w:t>
      </w:r>
      <w:r w:rsidR="009A1718">
        <w:rPr>
          <w:rFonts w:ascii="Times New Roman" w:hAnsi="Times New Roman" w:cs="Times New Roman"/>
          <w:sz w:val="28"/>
          <w:szCs w:val="28"/>
          <w:lang w:val="es-MX"/>
        </w:rPr>
        <w:t>imputable</w:t>
      </w:r>
      <w:r>
        <w:rPr>
          <w:rFonts w:ascii="Times New Roman" w:hAnsi="Times New Roman" w:cs="Times New Roman"/>
          <w:sz w:val="28"/>
          <w:szCs w:val="28"/>
          <w:lang w:val="es-MX"/>
        </w:rPr>
        <w:t xml:space="preserve"> de los segundos. Se reitera que en el pa</w:t>
      </w:r>
      <w:r w:rsidR="009A1718">
        <w:rPr>
          <w:rFonts w:ascii="Times New Roman" w:hAnsi="Times New Roman" w:cs="Times New Roman"/>
          <w:sz w:val="28"/>
          <w:szCs w:val="28"/>
          <w:lang w:val="es-MX"/>
        </w:rPr>
        <w:t>ís la demora en el pago del precio en la compraventa mercantil, conlleva el pago de intereses y que no cabe reclamar intereses y daños y perjuicios simultáneamente. El tipo de interés debería tener conexión con el lugar donde ha de cumplirse la&lt; obligación que los cause</w:t>
      </w:r>
      <w:r w:rsidR="00926B6B">
        <w:rPr>
          <w:rFonts w:ascii="Times New Roman" w:hAnsi="Times New Roman" w:cs="Times New Roman"/>
          <w:sz w:val="28"/>
          <w:szCs w:val="28"/>
          <w:lang w:val="es-MX"/>
        </w:rPr>
        <w:t>. Podrían existir convenio</w:t>
      </w:r>
      <w:r w:rsidR="00614B22">
        <w:rPr>
          <w:rFonts w:ascii="Times New Roman" w:hAnsi="Times New Roman" w:cs="Times New Roman"/>
          <w:sz w:val="28"/>
          <w:szCs w:val="28"/>
          <w:lang w:val="es-MX"/>
        </w:rPr>
        <w:t>s</w:t>
      </w:r>
      <w:r w:rsidR="00926B6B">
        <w:rPr>
          <w:rFonts w:ascii="Times New Roman" w:hAnsi="Times New Roman" w:cs="Times New Roman"/>
          <w:sz w:val="28"/>
          <w:szCs w:val="28"/>
          <w:lang w:val="es-MX"/>
        </w:rPr>
        <w:t xml:space="preserve"> al propósito.</w:t>
      </w:r>
    </w:p>
    <w:p w:rsidR="00614B22" w:rsidRDefault="00614B22" w:rsidP="0041305A">
      <w:pPr>
        <w:spacing w:line="360" w:lineRule="auto"/>
        <w:ind w:left="357"/>
        <w:jc w:val="both"/>
        <w:rPr>
          <w:rFonts w:ascii="Times New Roman" w:hAnsi="Times New Roman" w:cs="Times New Roman"/>
          <w:sz w:val="28"/>
          <w:szCs w:val="28"/>
          <w:lang w:val="es-MX"/>
        </w:rPr>
      </w:pPr>
    </w:p>
    <w:p w:rsidR="00614B22" w:rsidRDefault="00614B22" w:rsidP="0041305A">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9.2. </w:t>
      </w:r>
      <w:r w:rsidR="00CB6638">
        <w:rPr>
          <w:rFonts w:ascii="Times New Roman" w:hAnsi="Times New Roman" w:cs="Times New Roman"/>
          <w:sz w:val="28"/>
          <w:szCs w:val="28"/>
          <w:lang w:val="es-MX"/>
        </w:rPr>
        <w:t xml:space="preserve">El artículo 80 se refiere al supuesto básico de los contratos bilaterales  y conmutativos, cual es el de que  la mora purga a la mora. La norma dice a la letra: </w:t>
      </w:r>
      <w:r w:rsidR="00CB6638" w:rsidRPr="00CB6638">
        <w:rPr>
          <w:rFonts w:ascii="Times New Roman" w:hAnsi="Times New Roman" w:cs="Times New Roman"/>
          <w:i/>
          <w:sz w:val="28"/>
          <w:szCs w:val="28"/>
          <w:lang w:val="es-MX"/>
        </w:rPr>
        <w:t>Una parte no podrá invocar el incumpliendo de la otra en la medida en que tal incumplimiento haya sido causado por acción u omisión de aquélla</w:t>
      </w:r>
      <w:r w:rsidR="00CB6638">
        <w:rPr>
          <w:rFonts w:ascii="Times New Roman" w:hAnsi="Times New Roman" w:cs="Times New Roman"/>
          <w:sz w:val="28"/>
          <w:szCs w:val="28"/>
          <w:lang w:val="es-MX"/>
        </w:rPr>
        <w:t>. Ello mira al equilibrio y a la arquitectura del contrato.</w:t>
      </w:r>
    </w:p>
    <w:p w:rsidR="001B320D" w:rsidRDefault="001B320D" w:rsidP="0041305A">
      <w:pPr>
        <w:spacing w:line="360" w:lineRule="auto"/>
        <w:ind w:left="357"/>
        <w:jc w:val="both"/>
        <w:rPr>
          <w:rFonts w:ascii="Times New Roman" w:hAnsi="Times New Roman" w:cs="Times New Roman"/>
          <w:sz w:val="28"/>
          <w:szCs w:val="28"/>
          <w:lang w:val="es-MX"/>
        </w:rPr>
      </w:pPr>
    </w:p>
    <w:p w:rsidR="001B320D" w:rsidRDefault="001B320D" w:rsidP="0041305A">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w:t>
      </w:r>
      <w:smartTag w:uri="urn:schemas-microsoft-com:office:smarttags" w:element="metricconverter">
        <w:smartTagPr>
          <w:attr w:name="ProductID" w:val="79 a"/>
        </w:smartTagPr>
        <w:r>
          <w:rPr>
            <w:rFonts w:ascii="Times New Roman" w:hAnsi="Times New Roman" w:cs="Times New Roman"/>
            <w:sz w:val="28"/>
            <w:szCs w:val="28"/>
            <w:lang w:val="es-MX"/>
          </w:rPr>
          <w:t>79 a</w:t>
        </w:r>
      </w:smartTag>
      <w:r>
        <w:rPr>
          <w:rFonts w:ascii="Times New Roman" w:hAnsi="Times New Roman" w:cs="Times New Roman"/>
          <w:sz w:val="28"/>
          <w:szCs w:val="28"/>
          <w:lang w:val="es-MX"/>
        </w:rPr>
        <w:t xml:space="preserve"> la exoneración de responsabilidad por incumplimiento cuando se presenta caso fortuito o fuerza mayor. La misma ampara a cualquiera de las partes respecto de </w:t>
      </w:r>
      <w:r w:rsidR="00A1116F">
        <w:rPr>
          <w:rFonts w:ascii="Times New Roman" w:hAnsi="Times New Roman" w:cs="Times New Roman"/>
          <w:sz w:val="28"/>
          <w:szCs w:val="28"/>
          <w:lang w:val="es-MX"/>
        </w:rPr>
        <w:t>cualquiera</w:t>
      </w:r>
      <w:r>
        <w:rPr>
          <w:rFonts w:ascii="Times New Roman" w:hAnsi="Times New Roman" w:cs="Times New Roman"/>
          <w:sz w:val="28"/>
          <w:szCs w:val="28"/>
          <w:lang w:val="es-MX"/>
        </w:rPr>
        <w:t xml:space="preserve"> de sus obligaciones; se explica por un hecho ajeno a la voluntad de los contratantes; el hecho es imprevisible, o sea que no se puede prever ni remediar, debiendo ser </w:t>
      </w:r>
      <w:r>
        <w:rPr>
          <w:rFonts w:ascii="Times New Roman" w:hAnsi="Times New Roman" w:cs="Times New Roman"/>
          <w:sz w:val="28"/>
          <w:szCs w:val="28"/>
          <w:lang w:val="es-MX"/>
        </w:rPr>
        <w:lastRenderedPageBreak/>
        <w:t xml:space="preserve">aducido y probado por quién tenga interés en ello. Esplugues Mota trae </w:t>
      </w:r>
      <w:r w:rsidR="00A1116F">
        <w:rPr>
          <w:rFonts w:ascii="Times New Roman" w:hAnsi="Times New Roman" w:cs="Times New Roman"/>
          <w:sz w:val="28"/>
          <w:szCs w:val="28"/>
          <w:lang w:val="es-MX"/>
        </w:rPr>
        <w:t xml:space="preserve">tres </w:t>
      </w:r>
      <w:r>
        <w:rPr>
          <w:rFonts w:ascii="Times New Roman" w:hAnsi="Times New Roman" w:cs="Times New Roman"/>
          <w:sz w:val="28"/>
          <w:szCs w:val="28"/>
          <w:lang w:val="es-MX"/>
        </w:rPr>
        <w:t>casos de interés</w:t>
      </w:r>
      <w:r w:rsidR="00A1116F">
        <w:rPr>
          <w:rStyle w:val="FootnoteReference"/>
          <w:rFonts w:ascii="Times New Roman" w:hAnsi="Times New Roman" w:cs="Times New Roman"/>
          <w:sz w:val="28"/>
          <w:szCs w:val="28"/>
          <w:lang w:val="es-MX"/>
        </w:rPr>
        <w:footnoteReference w:id="48"/>
      </w:r>
      <w:r>
        <w:rPr>
          <w:rFonts w:ascii="Times New Roman" w:hAnsi="Times New Roman" w:cs="Times New Roman"/>
          <w:sz w:val="28"/>
          <w:szCs w:val="28"/>
          <w:lang w:val="es-MX"/>
        </w:rPr>
        <w:t>:-</w:t>
      </w:r>
    </w:p>
    <w:p w:rsidR="001B320D" w:rsidRDefault="001B320D" w:rsidP="0041305A">
      <w:pPr>
        <w:spacing w:line="360" w:lineRule="auto"/>
        <w:ind w:left="357"/>
        <w:jc w:val="both"/>
        <w:rPr>
          <w:rFonts w:ascii="Times New Roman" w:hAnsi="Times New Roman" w:cs="Times New Roman"/>
          <w:sz w:val="28"/>
          <w:szCs w:val="28"/>
          <w:lang w:val="es-MX"/>
        </w:rPr>
      </w:pPr>
    </w:p>
    <w:p w:rsidR="00926B6B" w:rsidRPr="00A1116F" w:rsidRDefault="00524423" w:rsidP="00524423">
      <w:pPr>
        <w:numPr>
          <w:ilvl w:val="0"/>
          <w:numId w:val="4"/>
        </w:numPr>
        <w:spacing w:line="360" w:lineRule="auto"/>
        <w:jc w:val="both"/>
        <w:rPr>
          <w:rFonts w:ascii="Times New Roman" w:hAnsi="Times New Roman" w:cs="Times New Roman"/>
          <w:sz w:val="20"/>
          <w:szCs w:val="20"/>
          <w:lang w:val="es-MX"/>
        </w:rPr>
      </w:pPr>
      <w:r w:rsidRPr="00A1116F">
        <w:rPr>
          <w:rFonts w:ascii="Times New Roman" w:hAnsi="Times New Roman" w:cs="Times New Roman"/>
          <w:sz w:val="20"/>
          <w:szCs w:val="20"/>
          <w:lang w:val="es-MX"/>
        </w:rPr>
        <w:t>En la sentencia de 14 de enero de 1993, el Tribunal de Monza  resolvió que la excesiva onerosidad alegada, por haber variado el precio de las mercaderías en un treinta por ciento, entre la fecha de la   formación del contrato y la de  su cumplimiento, no constituye fuerza mayor.</w:t>
      </w:r>
    </w:p>
    <w:p w:rsidR="00524423" w:rsidRPr="00A1116F" w:rsidRDefault="00524423" w:rsidP="00524423">
      <w:pPr>
        <w:numPr>
          <w:ilvl w:val="0"/>
          <w:numId w:val="4"/>
        </w:numPr>
        <w:spacing w:line="360" w:lineRule="auto"/>
        <w:jc w:val="both"/>
        <w:rPr>
          <w:rFonts w:ascii="Times New Roman" w:hAnsi="Times New Roman" w:cs="Times New Roman"/>
          <w:sz w:val="20"/>
          <w:szCs w:val="20"/>
          <w:lang w:val="es-MX"/>
        </w:rPr>
      </w:pPr>
      <w:r w:rsidRPr="00A1116F">
        <w:rPr>
          <w:rFonts w:ascii="Times New Roman" w:hAnsi="Times New Roman" w:cs="Times New Roman"/>
          <w:sz w:val="20"/>
          <w:szCs w:val="20"/>
          <w:lang w:val="es-MX"/>
        </w:rPr>
        <w:t>El Tribunal arbitral constituido para conocer el asunto, en 1989  declaró que el aumento del precio del acero en el mercado no constituye fuerza mayor.</w:t>
      </w:r>
    </w:p>
    <w:p w:rsidR="00524423" w:rsidRDefault="00524423" w:rsidP="00524423">
      <w:pPr>
        <w:numPr>
          <w:ilvl w:val="0"/>
          <w:numId w:val="4"/>
        </w:numPr>
        <w:spacing w:line="360" w:lineRule="auto"/>
        <w:jc w:val="both"/>
        <w:rPr>
          <w:rFonts w:ascii="Times New Roman" w:hAnsi="Times New Roman" w:cs="Times New Roman"/>
          <w:sz w:val="20"/>
          <w:szCs w:val="20"/>
          <w:lang w:val="es-MX"/>
        </w:rPr>
      </w:pPr>
      <w:r w:rsidRPr="00A1116F">
        <w:rPr>
          <w:rFonts w:ascii="Times New Roman" w:hAnsi="Times New Roman" w:cs="Times New Roman"/>
          <w:sz w:val="20"/>
          <w:szCs w:val="20"/>
          <w:lang w:val="es-MX"/>
        </w:rPr>
        <w:t xml:space="preserve">El Tribunal de Arbitraje Comercial  Internacional de </w:t>
      </w:r>
      <w:smartTag w:uri="urn:schemas-microsoft-com:office:smarttags" w:element="PersonName">
        <w:smartTagPr>
          <w:attr w:name="ProductID" w:val="la C￡mara"/>
        </w:smartTagPr>
        <w:r w:rsidRPr="00A1116F">
          <w:rPr>
            <w:rFonts w:ascii="Times New Roman" w:hAnsi="Times New Roman" w:cs="Times New Roman"/>
            <w:sz w:val="20"/>
            <w:szCs w:val="20"/>
            <w:lang w:val="es-MX"/>
          </w:rPr>
          <w:t>la Cámara</w:t>
        </w:r>
      </w:smartTag>
      <w:r w:rsidRPr="00A1116F">
        <w:rPr>
          <w:rFonts w:ascii="Times New Roman" w:hAnsi="Times New Roman" w:cs="Times New Roman"/>
          <w:sz w:val="20"/>
          <w:szCs w:val="20"/>
          <w:lang w:val="es-MX"/>
        </w:rPr>
        <w:t xml:space="preserve"> de Comercio e Industria de </w:t>
      </w:r>
      <w:smartTag w:uri="urn:schemas-microsoft-com:office:smarttags" w:element="PersonName">
        <w:smartTagPr>
          <w:attr w:name="ProductID" w:val="la Federaci￳n Rusa"/>
        </w:smartTagPr>
        <w:smartTag w:uri="urn:schemas-microsoft-com:office:smarttags" w:element="PersonName">
          <w:smartTagPr>
            <w:attr w:name="ProductID" w:val="la Federaci￳n"/>
          </w:smartTagPr>
          <w:r w:rsidRPr="00A1116F">
            <w:rPr>
              <w:rFonts w:ascii="Times New Roman" w:hAnsi="Times New Roman" w:cs="Times New Roman"/>
              <w:sz w:val="20"/>
              <w:szCs w:val="20"/>
              <w:lang w:val="es-MX"/>
            </w:rPr>
            <w:t>la Federación</w:t>
          </w:r>
        </w:smartTag>
        <w:r w:rsidRPr="00A1116F">
          <w:rPr>
            <w:rFonts w:ascii="Times New Roman" w:hAnsi="Times New Roman" w:cs="Times New Roman"/>
            <w:sz w:val="20"/>
            <w:szCs w:val="20"/>
            <w:lang w:val="es-MX"/>
          </w:rPr>
          <w:t xml:space="preserve"> Rusa</w:t>
        </w:r>
      </w:smartTag>
      <w:r w:rsidRPr="00A1116F">
        <w:rPr>
          <w:rFonts w:ascii="Times New Roman" w:hAnsi="Times New Roman" w:cs="Times New Roman"/>
          <w:sz w:val="20"/>
          <w:szCs w:val="20"/>
          <w:lang w:val="es-MX"/>
        </w:rPr>
        <w:t xml:space="preserve"> el</w:t>
      </w:r>
      <w:r w:rsidR="00A1116F" w:rsidRPr="00A1116F">
        <w:rPr>
          <w:rFonts w:ascii="Times New Roman" w:hAnsi="Times New Roman" w:cs="Times New Roman"/>
          <w:sz w:val="20"/>
          <w:szCs w:val="20"/>
          <w:lang w:val="es-MX"/>
        </w:rPr>
        <w:t xml:space="preserve"> 17 d</w:t>
      </w:r>
      <w:r w:rsidRPr="00A1116F">
        <w:rPr>
          <w:rFonts w:ascii="Times New Roman" w:hAnsi="Times New Roman" w:cs="Times New Roman"/>
          <w:sz w:val="20"/>
          <w:szCs w:val="20"/>
          <w:lang w:val="es-MX"/>
        </w:rPr>
        <w:t>e octubre de 1995 resolvió q</w:t>
      </w:r>
      <w:r w:rsidR="00B657EA">
        <w:rPr>
          <w:rFonts w:ascii="Times New Roman" w:hAnsi="Times New Roman" w:cs="Times New Roman"/>
          <w:sz w:val="20"/>
          <w:szCs w:val="20"/>
          <w:lang w:val="es-MX"/>
        </w:rPr>
        <w:t>.</w:t>
      </w:r>
      <w:r w:rsidRPr="00A1116F">
        <w:rPr>
          <w:rFonts w:ascii="Times New Roman" w:hAnsi="Times New Roman" w:cs="Times New Roman"/>
          <w:sz w:val="20"/>
          <w:szCs w:val="20"/>
          <w:lang w:val="es-MX"/>
        </w:rPr>
        <w:t>e la falta de divisas</w:t>
      </w:r>
      <w:r w:rsidR="00A1116F" w:rsidRPr="00A1116F">
        <w:rPr>
          <w:rFonts w:ascii="Times New Roman" w:hAnsi="Times New Roman" w:cs="Times New Roman"/>
          <w:sz w:val="20"/>
          <w:szCs w:val="20"/>
          <w:lang w:val="es-MX"/>
        </w:rPr>
        <w:t xml:space="preserve"> en el Banco que debía pagar las cantidades adeudadas al vendedor no constituye fuerza mayor.</w:t>
      </w:r>
    </w:p>
    <w:p w:rsidR="00A1116F" w:rsidRDefault="00A1116F" w:rsidP="00A1116F">
      <w:pPr>
        <w:spacing w:line="360" w:lineRule="auto"/>
        <w:ind w:left="357"/>
        <w:jc w:val="both"/>
        <w:rPr>
          <w:rFonts w:ascii="Times New Roman" w:hAnsi="Times New Roman" w:cs="Times New Roman"/>
          <w:sz w:val="20"/>
          <w:szCs w:val="20"/>
          <w:lang w:val="es-MX"/>
        </w:rPr>
      </w:pPr>
    </w:p>
    <w:p w:rsidR="00A1116F" w:rsidRDefault="006074FA"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La cláusula </w:t>
      </w:r>
      <w:r w:rsidRPr="006074FA">
        <w:rPr>
          <w:rFonts w:ascii="Times New Roman" w:hAnsi="Times New Roman" w:cs="Times New Roman"/>
          <w:i/>
          <w:sz w:val="28"/>
          <w:szCs w:val="28"/>
          <w:lang w:val="es-MX"/>
        </w:rPr>
        <w:t>hardship</w:t>
      </w:r>
      <w:r>
        <w:rPr>
          <w:rFonts w:ascii="Times New Roman" w:hAnsi="Times New Roman" w:cs="Times New Roman"/>
          <w:sz w:val="28"/>
          <w:szCs w:val="28"/>
          <w:lang w:val="es-MX"/>
        </w:rPr>
        <w:t xml:space="preserve"> puede en ciertos casos constituir  fundamento para exonerar de responsabilidad</w:t>
      </w:r>
      <w:r w:rsidR="00417D78">
        <w:rPr>
          <w:rFonts w:ascii="Times New Roman" w:hAnsi="Times New Roman" w:cs="Times New Roman"/>
          <w:sz w:val="28"/>
          <w:szCs w:val="28"/>
          <w:lang w:val="es-MX"/>
        </w:rPr>
        <w:t xml:space="preserve"> bajo las figuras de suspensión o terminación del contrato</w:t>
      </w:r>
      <w:r>
        <w:rPr>
          <w:rFonts w:ascii="Times New Roman" w:hAnsi="Times New Roman" w:cs="Times New Roman"/>
          <w:sz w:val="28"/>
          <w:szCs w:val="28"/>
          <w:lang w:val="es-MX"/>
        </w:rPr>
        <w:t>.</w:t>
      </w:r>
      <w:r w:rsidR="00B657EA">
        <w:rPr>
          <w:rFonts w:ascii="Times New Roman" w:hAnsi="Times New Roman" w:cs="Times New Roman"/>
          <w:sz w:val="28"/>
          <w:szCs w:val="28"/>
          <w:lang w:val="es-MX"/>
        </w:rPr>
        <w:t xml:space="preserve"> En otros puede dar lugar a la renegociación del contrato, a su adaptación a las nuevas circunstancias, a procesos </w:t>
      </w:r>
      <w:r w:rsidR="00417D78">
        <w:rPr>
          <w:rFonts w:ascii="Times New Roman" w:hAnsi="Times New Roman" w:cs="Times New Roman"/>
          <w:sz w:val="28"/>
          <w:szCs w:val="28"/>
          <w:lang w:val="es-MX"/>
        </w:rPr>
        <w:t xml:space="preserve"> compensatorios </w:t>
      </w:r>
      <w:r w:rsidR="00B657EA">
        <w:rPr>
          <w:rFonts w:ascii="Times New Roman" w:hAnsi="Times New Roman" w:cs="Times New Roman"/>
          <w:sz w:val="28"/>
          <w:szCs w:val="28"/>
          <w:lang w:val="es-MX"/>
        </w:rPr>
        <w:t>.</w:t>
      </w:r>
      <w:r>
        <w:rPr>
          <w:rFonts w:ascii="Times New Roman" w:hAnsi="Times New Roman" w:cs="Times New Roman"/>
          <w:sz w:val="28"/>
          <w:szCs w:val="28"/>
          <w:lang w:val="es-MX"/>
        </w:rPr>
        <w:t xml:space="preserve">No se encuentra admitida en los convenios internacionales, ni fácilmente como </w:t>
      </w:r>
      <w:r w:rsidRPr="006074FA">
        <w:rPr>
          <w:rFonts w:ascii="Times New Roman" w:hAnsi="Times New Roman" w:cs="Times New Roman"/>
          <w:i/>
          <w:sz w:val="28"/>
          <w:szCs w:val="28"/>
          <w:lang w:val="es-MX"/>
        </w:rPr>
        <w:t>excesiva onerosidad</w:t>
      </w:r>
      <w:r>
        <w:rPr>
          <w:rFonts w:ascii="Times New Roman" w:hAnsi="Times New Roman" w:cs="Times New Roman"/>
          <w:sz w:val="28"/>
          <w:szCs w:val="28"/>
          <w:lang w:val="es-MX"/>
        </w:rPr>
        <w:t xml:space="preserve"> en las legislaciones internas. Se podría afirmar que no es de fácil recibo. Se fundamenta en la doctrina y en algunas normativas que pueden ser calificadas como </w:t>
      </w:r>
      <w:r w:rsidRPr="006074FA">
        <w:rPr>
          <w:rFonts w:ascii="Times New Roman" w:hAnsi="Times New Roman" w:cs="Times New Roman"/>
          <w:i/>
          <w:sz w:val="28"/>
          <w:szCs w:val="28"/>
          <w:lang w:val="es-MX"/>
        </w:rPr>
        <w:t>soft law</w:t>
      </w:r>
      <w:r>
        <w:rPr>
          <w:rFonts w:ascii="Times New Roman" w:hAnsi="Times New Roman" w:cs="Times New Roman"/>
          <w:sz w:val="28"/>
          <w:szCs w:val="28"/>
          <w:lang w:val="es-MX"/>
        </w:rPr>
        <w:t xml:space="preserve">, así en los Principios de </w:t>
      </w:r>
      <w:smartTag w:uri="urn:schemas-microsoft-com:office:smarttags" w:element="PersonName">
        <w:smartTagPr>
          <w:attr w:name="ProductID" w:val="la UNIDROIT"/>
        </w:smartTagPr>
        <w:r>
          <w:rPr>
            <w:rFonts w:ascii="Times New Roman" w:hAnsi="Times New Roman" w:cs="Times New Roman"/>
            <w:sz w:val="28"/>
            <w:szCs w:val="28"/>
            <w:lang w:val="es-MX"/>
          </w:rPr>
          <w:t>la Unidroit</w:t>
        </w:r>
      </w:smartTag>
      <w:r>
        <w:rPr>
          <w:rFonts w:ascii="Times New Roman" w:hAnsi="Times New Roman" w:cs="Times New Roman"/>
          <w:sz w:val="28"/>
          <w:szCs w:val="28"/>
          <w:lang w:val="es-MX"/>
        </w:rPr>
        <w:t xml:space="preserve"> sobre </w:t>
      </w:r>
      <w:smartTag w:uri="urn:schemas-microsoft-com:office:smarttags" w:element="PersonName">
        <w:smartTagPr>
          <w:attr w:name="ProductID" w:val="la Contrataci￳n Comercial"/>
        </w:smartTagPr>
        <w:smartTag w:uri="urn:schemas-microsoft-com:office:smarttags" w:element="PersonName">
          <w:smartTagPr>
            <w:attr w:name="ProductID" w:val="la Contrataci￳n"/>
          </w:smartTagPr>
          <w:r>
            <w:rPr>
              <w:rFonts w:ascii="Times New Roman" w:hAnsi="Times New Roman" w:cs="Times New Roman"/>
              <w:sz w:val="28"/>
              <w:szCs w:val="28"/>
              <w:lang w:val="es-MX"/>
            </w:rPr>
            <w:t>la Contratación</w:t>
          </w:r>
        </w:smartTag>
        <w:r>
          <w:rPr>
            <w:rFonts w:ascii="Times New Roman" w:hAnsi="Times New Roman" w:cs="Times New Roman"/>
            <w:sz w:val="28"/>
            <w:szCs w:val="28"/>
            <w:lang w:val="es-MX"/>
          </w:rPr>
          <w:t xml:space="preserve"> Comercial</w:t>
        </w:r>
      </w:smartTag>
      <w:r>
        <w:rPr>
          <w:rFonts w:ascii="Times New Roman" w:hAnsi="Times New Roman" w:cs="Times New Roman"/>
          <w:sz w:val="28"/>
          <w:szCs w:val="28"/>
          <w:lang w:val="es-MX"/>
        </w:rPr>
        <w:t xml:space="preserve"> Internacional, artículos 6.2.1. a 6.2.3 y en los Principios del Derecho Europeo de los Contratos</w:t>
      </w:r>
      <w:r>
        <w:rPr>
          <w:rStyle w:val="FootnoteReference"/>
          <w:rFonts w:ascii="Times New Roman" w:hAnsi="Times New Roman" w:cs="Times New Roman"/>
          <w:sz w:val="28"/>
          <w:szCs w:val="28"/>
          <w:lang w:val="es-MX"/>
        </w:rPr>
        <w:footnoteReference w:id="49"/>
      </w:r>
      <w:r w:rsidR="0043249C">
        <w:rPr>
          <w:rFonts w:ascii="Times New Roman" w:hAnsi="Times New Roman" w:cs="Times New Roman"/>
          <w:sz w:val="28"/>
          <w:szCs w:val="28"/>
          <w:lang w:val="es-MX"/>
        </w:rPr>
        <w:t>. Advirtiendo, que en este tema  se sigue los  lineamientos del enjundioso trabajo de Carmen Amalia Simone, es dable afirmar que la cláusula en mención, dentro del postulado de la autonomía de la voluntad, bien puede ser incorporada en los contratos de compraven</w:t>
      </w:r>
      <w:r w:rsidR="00B657EA">
        <w:rPr>
          <w:rFonts w:ascii="Times New Roman" w:hAnsi="Times New Roman" w:cs="Times New Roman"/>
          <w:sz w:val="28"/>
          <w:szCs w:val="28"/>
          <w:lang w:val="es-MX"/>
        </w:rPr>
        <w:t xml:space="preserve">ta internacional de mercaderías, tanto más que </w:t>
      </w:r>
      <w:smartTag w:uri="urn:schemas-microsoft-com:office:smarttags" w:element="PersonName">
        <w:smartTagPr>
          <w:attr w:name="ProductID" w:val="la C￡mara Internacional"/>
        </w:smartTagPr>
        <w:smartTag w:uri="urn:schemas-microsoft-com:office:smarttags" w:element="PersonName">
          <w:smartTagPr>
            <w:attr w:name="ProductID" w:val="la C￡mara"/>
          </w:smartTagPr>
          <w:r w:rsidR="00B657EA">
            <w:rPr>
              <w:rFonts w:ascii="Times New Roman" w:hAnsi="Times New Roman" w:cs="Times New Roman"/>
              <w:sz w:val="28"/>
              <w:szCs w:val="28"/>
              <w:lang w:val="es-MX"/>
            </w:rPr>
            <w:t>la Cámara</w:t>
          </w:r>
        </w:smartTag>
        <w:r w:rsidR="00B657EA">
          <w:rPr>
            <w:rFonts w:ascii="Times New Roman" w:hAnsi="Times New Roman" w:cs="Times New Roman"/>
            <w:sz w:val="28"/>
            <w:szCs w:val="28"/>
            <w:lang w:val="es-MX"/>
          </w:rPr>
          <w:t xml:space="preserve"> Internacional</w:t>
        </w:r>
      </w:smartTag>
      <w:r w:rsidR="00B657EA">
        <w:rPr>
          <w:rFonts w:ascii="Times New Roman" w:hAnsi="Times New Roman" w:cs="Times New Roman"/>
          <w:sz w:val="28"/>
          <w:szCs w:val="28"/>
          <w:lang w:val="es-MX"/>
        </w:rPr>
        <w:t xml:space="preserve"> de  Comercio de París ha elaborado una cláusula estándar de </w:t>
      </w:r>
      <w:r w:rsidR="00B657EA" w:rsidRPr="00B657EA">
        <w:rPr>
          <w:rFonts w:ascii="Times New Roman" w:hAnsi="Times New Roman" w:cs="Times New Roman"/>
          <w:i/>
          <w:sz w:val="28"/>
          <w:szCs w:val="28"/>
          <w:lang w:val="es-MX"/>
        </w:rPr>
        <w:t>hardship</w:t>
      </w:r>
      <w:r w:rsidR="00B657EA">
        <w:rPr>
          <w:rFonts w:ascii="Times New Roman" w:hAnsi="Times New Roman" w:cs="Times New Roman"/>
          <w:sz w:val="28"/>
          <w:szCs w:val="28"/>
          <w:lang w:val="es-MX"/>
        </w:rPr>
        <w:t>.</w:t>
      </w:r>
    </w:p>
    <w:p w:rsidR="0043249C" w:rsidRDefault="0043249C" w:rsidP="00A1116F">
      <w:pPr>
        <w:spacing w:line="360" w:lineRule="auto"/>
        <w:ind w:left="357"/>
        <w:jc w:val="both"/>
        <w:rPr>
          <w:rFonts w:ascii="Times New Roman" w:hAnsi="Times New Roman" w:cs="Times New Roman"/>
          <w:sz w:val="28"/>
          <w:szCs w:val="28"/>
          <w:lang w:val="es-MX"/>
        </w:rPr>
      </w:pPr>
    </w:p>
    <w:p w:rsidR="0043249C" w:rsidRDefault="0043249C"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La antinomia entre </w:t>
      </w:r>
      <w:r w:rsidRPr="008420F1">
        <w:rPr>
          <w:rFonts w:ascii="Times New Roman" w:hAnsi="Times New Roman" w:cs="Times New Roman"/>
          <w:i/>
          <w:sz w:val="28"/>
          <w:szCs w:val="28"/>
          <w:lang w:val="es-MX"/>
        </w:rPr>
        <w:t>pacta sunt servanda</w:t>
      </w:r>
      <w:r>
        <w:rPr>
          <w:rFonts w:ascii="Times New Roman" w:hAnsi="Times New Roman" w:cs="Times New Roman"/>
          <w:sz w:val="28"/>
          <w:szCs w:val="28"/>
          <w:lang w:val="es-MX"/>
        </w:rPr>
        <w:t xml:space="preserve"> y </w:t>
      </w:r>
      <w:r w:rsidRPr="008420F1">
        <w:rPr>
          <w:rFonts w:ascii="Times New Roman" w:hAnsi="Times New Roman" w:cs="Times New Roman"/>
          <w:i/>
          <w:sz w:val="28"/>
          <w:szCs w:val="28"/>
          <w:lang w:val="es-MX"/>
        </w:rPr>
        <w:t>rebus sic stantibus</w:t>
      </w:r>
      <w:r w:rsidR="00F00446">
        <w:rPr>
          <w:rFonts w:ascii="Times New Roman" w:hAnsi="Times New Roman" w:cs="Times New Roman"/>
          <w:sz w:val="28"/>
          <w:szCs w:val="28"/>
          <w:lang w:val="es-MX"/>
        </w:rPr>
        <w:t xml:space="preserve">, siempre debiéndose reconocer que el primero es de tenor general y el segundo excepcional, se proyecta en esta temática, pudiéndose afirmar que </w:t>
      </w:r>
      <w:r w:rsidR="00F00446" w:rsidRPr="008420F1">
        <w:rPr>
          <w:rFonts w:ascii="Times New Roman" w:hAnsi="Times New Roman" w:cs="Times New Roman"/>
          <w:i/>
          <w:sz w:val="28"/>
          <w:szCs w:val="28"/>
          <w:lang w:val="es-MX"/>
        </w:rPr>
        <w:t>el contrato es ley para los contratantes</w:t>
      </w:r>
      <w:r w:rsidR="008420F1" w:rsidRPr="008420F1">
        <w:rPr>
          <w:rFonts w:ascii="Times New Roman" w:hAnsi="Times New Roman" w:cs="Times New Roman"/>
          <w:i/>
          <w:sz w:val="28"/>
          <w:szCs w:val="28"/>
          <w:lang w:val="es-MX"/>
        </w:rPr>
        <w:t xml:space="preserve"> siempre que las circunstancias de su celebración se conserven</w:t>
      </w:r>
      <w:r w:rsidR="008420F1">
        <w:rPr>
          <w:rFonts w:ascii="Times New Roman" w:hAnsi="Times New Roman" w:cs="Times New Roman"/>
          <w:sz w:val="28"/>
          <w:szCs w:val="28"/>
          <w:lang w:val="es-MX"/>
        </w:rPr>
        <w:t xml:space="preserve">. Es evidente que la cláusula </w:t>
      </w:r>
      <w:r w:rsidR="008420F1" w:rsidRPr="008420F1">
        <w:rPr>
          <w:rFonts w:ascii="Times New Roman" w:hAnsi="Times New Roman" w:cs="Times New Roman"/>
          <w:i/>
          <w:sz w:val="28"/>
          <w:szCs w:val="28"/>
          <w:lang w:val="es-MX"/>
        </w:rPr>
        <w:t>hard ship</w:t>
      </w:r>
      <w:r w:rsidR="008420F1">
        <w:rPr>
          <w:rFonts w:ascii="Times New Roman" w:hAnsi="Times New Roman" w:cs="Times New Roman"/>
          <w:sz w:val="28"/>
          <w:szCs w:val="28"/>
          <w:lang w:val="es-MX"/>
        </w:rPr>
        <w:t xml:space="preserve"> adhiere a la filosofía de que se encuentra imbuida el postulado </w:t>
      </w:r>
      <w:r w:rsidR="008420F1" w:rsidRPr="008420F1">
        <w:rPr>
          <w:rFonts w:ascii="Times New Roman" w:hAnsi="Times New Roman" w:cs="Times New Roman"/>
          <w:i/>
          <w:sz w:val="28"/>
          <w:szCs w:val="28"/>
          <w:lang w:val="es-MX"/>
        </w:rPr>
        <w:t>rebus sic stantibus</w:t>
      </w:r>
      <w:r w:rsidR="008420F1">
        <w:rPr>
          <w:rFonts w:ascii="Times New Roman" w:hAnsi="Times New Roman" w:cs="Times New Roman"/>
          <w:i/>
          <w:sz w:val="28"/>
          <w:szCs w:val="28"/>
          <w:lang w:val="es-MX"/>
        </w:rPr>
        <w:t>,</w:t>
      </w:r>
      <w:r w:rsidR="008420F1">
        <w:rPr>
          <w:rFonts w:ascii="Times New Roman" w:hAnsi="Times New Roman" w:cs="Times New Roman"/>
          <w:sz w:val="28"/>
          <w:szCs w:val="28"/>
          <w:lang w:val="es-MX"/>
        </w:rPr>
        <w:t xml:space="preserve"> pues, al unísono  con este último, preconiza la trascendencia del  factor cambio de circunstancias en el entorno jurídico.</w:t>
      </w:r>
    </w:p>
    <w:p w:rsidR="008420F1" w:rsidRDefault="008420F1" w:rsidP="00A1116F">
      <w:pPr>
        <w:spacing w:line="360" w:lineRule="auto"/>
        <w:ind w:left="357"/>
        <w:jc w:val="both"/>
        <w:rPr>
          <w:rFonts w:ascii="Times New Roman" w:hAnsi="Times New Roman" w:cs="Times New Roman"/>
          <w:sz w:val="28"/>
          <w:szCs w:val="28"/>
          <w:lang w:val="es-MX"/>
        </w:rPr>
      </w:pPr>
    </w:p>
    <w:p w:rsidR="00ED5B5D" w:rsidRDefault="000D6341"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La definición de los Principios de </w:t>
      </w:r>
      <w:smartTag w:uri="urn:schemas-microsoft-com:office:smarttags" w:element="PersonName">
        <w:smartTagPr>
          <w:attr w:name="ProductID" w:val="la UNIDROIT"/>
        </w:smartTagPr>
        <w:r>
          <w:rPr>
            <w:rFonts w:ascii="Times New Roman" w:hAnsi="Times New Roman" w:cs="Times New Roman"/>
            <w:sz w:val="28"/>
            <w:szCs w:val="28"/>
            <w:lang w:val="es-MX"/>
          </w:rPr>
          <w:t>la Unidroit</w:t>
        </w:r>
      </w:smartTag>
      <w:r>
        <w:rPr>
          <w:rFonts w:ascii="Times New Roman" w:hAnsi="Times New Roman" w:cs="Times New Roman"/>
          <w:sz w:val="28"/>
          <w:szCs w:val="28"/>
          <w:lang w:val="es-MX"/>
        </w:rPr>
        <w:t xml:space="preserve"> da luz sobre esta institución. Dice: </w:t>
      </w:r>
    </w:p>
    <w:p w:rsidR="00ED5B5D" w:rsidRDefault="00ED5B5D" w:rsidP="00A1116F">
      <w:pPr>
        <w:spacing w:line="360" w:lineRule="auto"/>
        <w:ind w:left="357"/>
        <w:jc w:val="both"/>
        <w:rPr>
          <w:rFonts w:ascii="Times New Roman" w:hAnsi="Times New Roman" w:cs="Times New Roman"/>
          <w:sz w:val="28"/>
          <w:szCs w:val="28"/>
          <w:lang w:val="es-MX"/>
        </w:rPr>
      </w:pPr>
    </w:p>
    <w:p w:rsidR="00ED5B5D" w:rsidRDefault="000D6341" w:rsidP="00A1116F">
      <w:pPr>
        <w:spacing w:line="360" w:lineRule="auto"/>
        <w:ind w:left="357"/>
        <w:jc w:val="both"/>
        <w:rPr>
          <w:rFonts w:ascii="Times New Roman" w:hAnsi="Times New Roman" w:cs="Times New Roman"/>
          <w:i/>
          <w:sz w:val="20"/>
          <w:szCs w:val="20"/>
          <w:lang w:val="es-MX"/>
        </w:rPr>
      </w:pPr>
      <w:r w:rsidRPr="00ED5B5D">
        <w:rPr>
          <w:rFonts w:ascii="Times New Roman" w:hAnsi="Times New Roman" w:cs="Times New Roman"/>
          <w:i/>
          <w:sz w:val="20"/>
          <w:szCs w:val="20"/>
          <w:lang w:val="es-MX"/>
        </w:rPr>
        <w:t>Hay “excesiva onerosidad” (hardship) cuando el equilibrio del contrato es alterado de modo fundamental por el acontecimiento de ciertos eventos, bien porque el costo de la prestación a cargo de una de las partes se ha incrementado, o porque el valor de la prestación que una de las partes recibe ha disminuido, y: a) dichos eventos acontecen o llegan a ser conocidos por la parte en desventaja después de la celebración del contrato; b) los eventos no pudieron ser razonablemente tenidos en cuenta</w:t>
      </w:r>
      <w:r w:rsidR="00ED5B5D" w:rsidRPr="00ED5B5D">
        <w:rPr>
          <w:rFonts w:ascii="Times New Roman" w:hAnsi="Times New Roman" w:cs="Times New Roman"/>
          <w:i/>
          <w:sz w:val="20"/>
          <w:szCs w:val="20"/>
          <w:lang w:val="es-MX"/>
        </w:rPr>
        <w:t xml:space="preserve">  por la parte en desventaja en el momento de  celebrarse el contrato; c) los eventos escapan al control de la parte en desventaja; y, d) el riesgo de tales eventos no fue asumido por la parte en desventaja</w:t>
      </w:r>
      <w:r w:rsidR="00ED5B5D">
        <w:rPr>
          <w:rFonts w:ascii="Times New Roman" w:hAnsi="Times New Roman" w:cs="Times New Roman"/>
          <w:i/>
          <w:sz w:val="20"/>
          <w:szCs w:val="20"/>
          <w:lang w:val="es-MX"/>
        </w:rPr>
        <w:t>.</w:t>
      </w:r>
    </w:p>
    <w:p w:rsidR="00ED5B5D" w:rsidRDefault="00ED5B5D" w:rsidP="00A1116F">
      <w:pPr>
        <w:spacing w:line="360" w:lineRule="auto"/>
        <w:ind w:left="357"/>
        <w:jc w:val="both"/>
        <w:rPr>
          <w:rFonts w:ascii="Times New Roman" w:hAnsi="Times New Roman" w:cs="Times New Roman"/>
          <w:i/>
          <w:sz w:val="20"/>
          <w:szCs w:val="20"/>
          <w:lang w:val="es-MX"/>
        </w:rPr>
      </w:pPr>
    </w:p>
    <w:p w:rsidR="00B657EA" w:rsidRDefault="00ED5B5D"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Los elementos del </w:t>
      </w:r>
      <w:r w:rsidRPr="00ED5B5D">
        <w:rPr>
          <w:rFonts w:ascii="Times New Roman" w:hAnsi="Times New Roman" w:cs="Times New Roman"/>
          <w:i/>
          <w:sz w:val="28"/>
          <w:szCs w:val="28"/>
          <w:lang w:val="es-MX"/>
        </w:rPr>
        <w:t>hardship</w:t>
      </w:r>
      <w:r w:rsidRPr="00ED5B5D">
        <w:rPr>
          <w:rFonts w:ascii="Times New Roman" w:hAnsi="Times New Roman" w:cs="Times New Roman"/>
          <w:i/>
          <w:sz w:val="20"/>
          <w:szCs w:val="20"/>
          <w:lang w:val="es-MX"/>
        </w:rPr>
        <w:t>.</w:t>
      </w:r>
      <w:r>
        <w:rPr>
          <w:rFonts w:ascii="Times New Roman" w:hAnsi="Times New Roman" w:cs="Times New Roman"/>
          <w:sz w:val="20"/>
          <w:szCs w:val="20"/>
          <w:lang w:val="es-MX"/>
        </w:rPr>
        <w:t xml:space="preserve"> </w:t>
      </w:r>
      <w:r>
        <w:rPr>
          <w:rFonts w:ascii="Times New Roman" w:hAnsi="Times New Roman" w:cs="Times New Roman"/>
          <w:sz w:val="28"/>
          <w:szCs w:val="28"/>
          <w:lang w:val="es-MX"/>
        </w:rPr>
        <w:t>son: la excepcionalidad; la ininputabilidad porque no puede ocurrir por culpa o intervención de las partes; la superveniencia, pues, la circunstancia que genera la excesiva onerosidad debe ser posterior a la celebración del contrato; la imprevisibilidad</w:t>
      </w:r>
      <w:r w:rsidR="00B657EA">
        <w:rPr>
          <w:rFonts w:ascii="Times New Roman" w:hAnsi="Times New Roman" w:cs="Times New Roman"/>
          <w:sz w:val="28"/>
          <w:szCs w:val="28"/>
          <w:lang w:val="es-MX"/>
        </w:rPr>
        <w:t xml:space="preserve"> </w:t>
      </w:r>
      <w:r>
        <w:rPr>
          <w:rFonts w:ascii="Times New Roman" w:hAnsi="Times New Roman" w:cs="Times New Roman"/>
          <w:sz w:val="28"/>
          <w:szCs w:val="28"/>
          <w:lang w:val="es-MX"/>
        </w:rPr>
        <w:t>, por cuanto los eventos no pudieron</w:t>
      </w:r>
      <w:r w:rsidR="00B657EA">
        <w:rPr>
          <w:rFonts w:ascii="Times New Roman" w:hAnsi="Times New Roman" w:cs="Times New Roman"/>
          <w:sz w:val="28"/>
          <w:szCs w:val="28"/>
          <w:lang w:val="es-MX"/>
        </w:rPr>
        <w:t xml:space="preserve"> ser razonablemente tenidos en cuenta por la parte en desventaja en el momento de celebrarse el contrato; la falta de asunción del riesgo por la parte en desventaja; y, que incumba a prestaciones pendientes de cumplimiento.</w:t>
      </w:r>
    </w:p>
    <w:p w:rsidR="00B657EA" w:rsidRDefault="00B657EA" w:rsidP="00A1116F">
      <w:pPr>
        <w:spacing w:line="360" w:lineRule="auto"/>
        <w:ind w:left="357"/>
        <w:jc w:val="both"/>
        <w:rPr>
          <w:rFonts w:ascii="Times New Roman" w:hAnsi="Times New Roman" w:cs="Times New Roman"/>
          <w:sz w:val="28"/>
          <w:szCs w:val="28"/>
          <w:lang w:val="es-MX"/>
        </w:rPr>
      </w:pPr>
    </w:p>
    <w:p w:rsidR="00D00543" w:rsidRDefault="007A053B"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lastRenderedPageBreak/>
        <w:t xml:space="preserve">9.3. Los artículos </w:t>
      </w:r>
      <w:smartTag w:uri="urn:schemas-microsoft-com:office:smarttags" w:element="metricconverter">
        <w:smartTagPr>
          <w:attr w:name="ProductID" w:val="81 a"/>
        </w:smartTagPr>
        <w:r>
          <w:rPr>
            <w:rFonts w:ascii="Times New Roman" w:hAnsi="Times New Roman" w:cs="Times New Roman"/>
            <w:sz w:val="28"/>
            <w:szCs w:val="28"/>
            <w:lang w:val="es-MX"/>
          </w:rPr>
          <w:t>81 a</w:t>
        </w:r>
      </w:smartTag>
      <w:r>
        <w:rPr>
          <w:rFonts w:ascii="Times New Roman" w:hAnsi="Times New Roman" w:cs="Times New Roman"/>
          <w:sz w:val="28"/>
          <w:szCs w:val="28"/>
          <w:lang w:val="es-MX"/>
        </w:rPr>
        <w:t xml:space="preserve"> 8</w:t>
      </w:r>
      <w:r w:rsidR="006C52EB">
        <w:rPr>
          <w:rFonts w:ascii="Times New Roman" w:hAnsi="Times New Roman" w:cs="Times New Roman"/>
          <w:sz w:val="28"/>
          <w:szCs w:val="28"/>
          <w:lang w:val="es-MX"/>
        </w:rPr>
        <w:t>4</w:t>
      </w:r>
      <w:r>
        <w:rPr>
          <w:rFonts w:ascii="Times New Roman" w:hAnsi="Times New Roman" w:cs="Times New Roman"/>
          <w:sz w:val="28"/>
          <w:szCs w:val="28"/>
          <w:lang w:val="es-MX"/>
        </w:rPr>
        <w:t xml:space="preserve"> de </w:t>
      </w:r>
      <w:smartTag w:uri="urn:schemas-microsoft-com:office:smarttags" w:element="PersonName">
        <w:smartTagPr>
          <w:attr w:name="ProductID" w:val="la CV"/>
        </w:smartTagPr>
        <w:r>
          <w:rPr>
            <w:rFonts w:ascii="Times New Roman" w:hAnsi="Times New Roman" w:cs="Times New Roman"/>
            <w:sz w:val="28"/>
            <w:szCs w:val="28"/>
            <w:lang w:val="es-MX"/>
          </w:rPr>
          <w:t>la CV</w:t>
        </w:r>
      </w:smartTag>
      <w:r>
        <w:rPr>
          <w:rFonts w:ascii="Times New Roman" w:hAnsi="Times New Roman" w:cs="Times New Roman"/>
          <w:sz w:val="28"/>
          <w:szCs w:val="28"/>
          <w:lang w:val="es-MX"/>
        </w:rPr>
        <w:t xml:space="preserve"> conciernen a los efectos de la resolución de los contratos.</w:t>
      </w:r>
      <w:r w:rsidR="006C52EB">
        <w:rPr>
          <w:rFonts w:ascii="Times New Roman" w:hAnsi="Times New Roman" w:cs="Times New Roman"/>
          <w:sz w:val="28"/>
          <w:szCs w:val="28"/>
          <w:lang w:val="es-MX"/>
        </w:rPr>
        <w:t xml:space="preserve"> La resolución en primer término produce la extinción de las obligaciones y así, vendedor y comprador quedan dispensados de cumplirlas.</w:t>
      </w:r>
      <w:r w:rsidR="00516AFB">
        <w:rPr>
          <w:rFonts w:ascii="Times New Roman" w:hAnsi="Times New Roman" w:cs="Times New Roman"/>
          <w:sz w:val="28"/>
          <w:szCs w:val="28"/>
          <w:lang w:val="es-MX"/>
        </w:rPr>
        <w:t xml:space="preserve"> No afecta la posible indemnización de daños y perjuicios, lo atinente a la resolución de controversias y en general los acuerdos sobre cláusulas penales. Otro ámbito es el de las restituciones de lo pagado, a cuyo efecto es útil diferenciar los contratos de cumplimiento instantáneo de aquellos de tracto sucesivo. La restitución, si se trata de precio, debería gravarse con intereses. Finalmente, la restitución ha de ser simultánea.</w:t>
      </w:r>
    </w:p>
    <w:p w:rsidR="00D00543" w:rsidRDefault="00D00543" w:rsidP="00A1116F">
      <w:pPr>
        <w:spacing w:line="360" w:lineRule="auto"/>
        <w:ind w:left="357"/>
        <w:jc w:val="both"/>
        <w:rPr>
          <w:rFonts w:ascii="Times New Roman" w:hAnsi="Times New Roman" w:cs="Times New Roman"/>
          <w:sz w:val="28"/>
          <w:szCs w:val="28"/>
          <w:lang w:val="es-MX"/>
        </w:rPr>
      </w:pPr>
    </w:p>
    <w:p w:rsidR="00E2489F" w:rsidRDefault="00D00543"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Adame Goddard</w:t>
      </w:r>
      <w:r>
        <w:rPr>
          <w:rStyle w:val="FootnoteReference"/>
          <w:rFonts w:ascii="Times New Roman" w:hAnsi="Times New Roman" w:cs="Times New Roman"/>
          <w:sz w:val="28"/>
          <w:szCs w:val="28"/>
          <w:lang w:val="es-MX"/>
        </w:rPr>
        <w:footnoteReference w:id="50"/>
      </w:r>
      <w:r>
        <w:rPr>
          <w:rFonts w:ascii="Times New Roman" w:hAnsi="Times New Roman" w:cs="Times New Roman"/>
          <w:sz w:val="28"/>
          <w:szCs w:val="28"/>
          <w:lang w:val="es-MX"/>
        </w:rPr>
        <w:t>, esquematiza de buena manera esta cuestión. Respecto de las cláusulas que se mantienen, señala las que atañen a la solución de controversias y las que regulan los derechos y obligaciones de las partes en caso de resolución. Respecto de la solución de controversias señala las que se refieren al arbitraje, las que eligen un determinado foro, las que determinan las leyes aplicables al fondo del contrato y las procesales sobre el mismo, así como las penales y las que prevén la renegociación. Sobre los derechos y obligaciones de las partes apuntan que perviven las cláusulas que determinan montos por daños y perjuicios o la forma de calcularlos</w:t>
      </w:r>
      <w:r w:rsidR="00E2489F">
        <w:rPr>
          <w:rFonts w:ascii="Times New Roman" w:hAnsi="Times New Roman" w:cs="Times New Roman"/>
          <w:sz w:val="28"/>
          <w:szCs w:val="28"/>
          <w:lang w:val="es-MX"/>
        </w:rPr>
        <w:t>, las que tratan de exoneración de responsabilidad, las que permiten a favor de una parte la posibilidad de dar unilateralmente  por resuelto el contrato, las que prevén la restitución de lo entregado a virtud del contrato. Se trata de un universo sumamente amplio en el que se ejercita ampliamente  la autonomía de la voluntad.</w:t>
      </w:r>
      <w:r>
        <w:rPr>
          <w:rFonts w:ascii="Times New Roman" w:hAnsi="Times New Roman" w:cs="Times New Roman"/>
          <w:sz w:val="28"/>
          <w:szCs w:val="28"/>
          <w:lang w:val="es-MX"/>
        </w:rPr>
        <w:t xml:space="preserve"> </w:t>
      </w:r>
    </w:p>
    <w:p w:rsidR="00E2489F" w:rsidRDefault="00E2489F" w:rsidP="00A1116F">
      <w:pPr>
        <w:spacing w:line="360" w:lineRule="auto"/>
        <w:ind w:left="357"/>
        <w:jc w:val="both"/>
        <w:rPr>
          <w:rFonts w:ascii="Times New Roman" w:hAnsi="Times New Roman" w:cs="Times New Roman"/>
          <w:sz w:val="28"/>
          <w:szCs w:val="28"/>
          <w:lang w:val="es-MX"/>
        </w:rPr>
      </w:pPr>
    </w:p>
    <w:p w:rsidR="00E2489F" w:rsidRDefault="00E2489F"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lastRenderedPageBreak/>
        <w:t xml:space="preserve">10. </w:t>
      </w:r>
      <w:r w:rsidR="000438E8">
        <w:rPr>
          <w:rFonts w:ascii="Times New Roman" w:hAnsi="Times New Roman" w:cs="Times New Roman"/>
          <w:sz w:val="28"/>
          <w:szCs w:val="28"/>
          <w:lang w:val="es-MX"/>
        </w:rPr>
        <w:t xml:space="preserve">Los artículos </w:t>
      </w:r>
      <w:smartTag w:uri="urn:schemas-microsoft-com:office:smarttags" w:element="metricconverter">
        <w:smartTagPr>
          <w:attr w:name="ProductID" w:val="66 a"/>
        </w:smartTagPr>
        <w:r w:rsidR="000438E8">
          <w:rPr>
            <w:rFonts w:ascii="Times New Roman" w:hAnsi="Times New Roman" w:cs="Times New Roman"/>
            <w:sz w:val="28"/>
            <w:szCs w:val="28"/>
            <w:lang w:val="es-MX"/>
          </w:rPr>
          <w:t>66 a</w:t>
        </w:r>
      </w:smartTag>
      <w:r w:rsidR="000438E8">
        <w:rPr>
          <w:rFonts w:ascii="Times New Roman" w:hAnsi="Times New Roman" w:cs="Times New Roman"/>
          <w:sz w:val="28"/>
          <w:szCs w:val="28"/>
          <w:lang w:val="es-MX"/>
        </w:rPr>
        <w:t xml:space="preserve"> 70 de </w:t>
      </w:r>
      <w:smartTag w:uri="urn:schemas-microsoft-com:office:smarttags" w:element="PersonName">
        <w:smartTagPr>
          <w:attr w:name="ProductID" w:val="la CV"/>
        </w:smartTagPr>
        <w:r w:rsidR="000438E8">
          <w:rPr>
            <w:rFonts w:ascii="Times New Roman" w:hAnsi="Times New Roman" w:cs="Times New Roman"/>
            <w:sz w:val="28"/>
            <w:szCs w:val="28"/>
            <w:lang w:val="es-MX"/>
          </w:rPr>
          <w:t>la CV</w:t>
        </w:r>
      </w:smartTag>
      <w:r w:rsidR="000438E8">
        <w:rPr>
          <w:rFonts w:ascii="Times New Roman" w:hAnsi="Times New Roman" w:cs="Times New Roman"/>
          <w:sz w:val="28"/>
          <w:szCs w:val="28"/>
          <w:lang w:val="es-MX"/>
        </w:rPr>
        <w:t xml:space="preserve">  regulan la transmisión del riesgo.</w:t>
      </w:r>
      <w:r w:rsidR="00E0001E">
        <w:rPr>
          <w:rFonts w:ascii="Times New Roman" w:hAnsi="Times New Roman" w:cs="Times New Roman"/>
          <w:sz w:val="28"/>
          <w:szCs w:val="28"/>
          <w:lang w:val="es-MX"/>
        </w:rPr>
        <w:t xml:space="preserve"> Lo prioritario es definir qué se debe entender por riesgo. Garro y Zuppi a partir del Diccionario de </w:t>
      </w:r>
      <w:smartTag w:uri="urn:schemas-microsoft-com:office:smarttags" w:element="PersonName">
        <w:smartTagPr>
          <w:attr w:name="ProductID" w:val="la Real Academia"/>
        </w:smartTagPr>
        <w:smartTag w:uri="urn:schemas-microsoft-com:office:smarttags" w:element="PersonName">
          <w:smartTagPr>
            <w:attr w:name="ProductID" w:val="la Real"/>
          </w:smartTagPr>
          <w:r w:rsidR="00E0001E">
            <w:rPr>
              <w:rFonts w:ascii="Times New Roman" w:hAnsi="Times New Roman" w:cs="Times New Roman"/>
              <w:sz w:val="28"/>
              <w:szCs w:val="28"/>
              <w:lang w:val="es-MX"/>
            </w:rPr>
            <w:t>la Real</w:t>
          </w:r>
        </w:smartTag>
        <w:r w:rsidR="00E0001E">
          <w:rPr>
            <w:rFonts w:ascii="Times New Roman" w:hAnsi="Times New Roman" w:cs="Times New Roman"/>
            <w:sz w:val="28"/>
            <w:szCs w:val="28"/>
            <w:lang w:val="es-MX"/>
          </w:rPr>
          <w:t xml:space="preserve"> Academia</w:t>
        </w:r>
      </w:smartTag>
      <w:r w:rsidR="00E0001E">
        <w:rPr>
          <w:rFonts w:ascii="Times New Roman" w:hAnsi="Times New Roman" w:cs="Times New Roman"/>
          <w:sz w:val="28"/>
          <w:szCs w:val="28"/>
          <w:lang w:val="es-MX"/>
        </w:rPr>
        <w:t xml:space="preserve"> Española considerar al riesgo como una </w:t>
      </w:r>
      <w:r w:rsidR="00E0001E" w:rsidRPr="00E0001E">
        <w:rPr>
          <w:rFonts w:ascii="Times New Roman" w:hAnsi="Times New Roman" w:cs="Times New Roman"/>
          <w:i/>
          <w:sz w:val="28"/>
          <w:szCs w:val="28"/>
          <w:lang w:val="es-MX"/>
        </w:rPr>
        <w:t>contingencia o proximidad de un daño</w:t>
      </w:r>
      <w:r w:rsidR="00E0001E">
        <w:rPr>
          <w:rStyle w:val="FootnoteReference"/>
          <w:rFonts w:ascii="Times New Roman" w:hAnsi="Times New Roman" w:cs="Times New Roman"/>
          <w:i/>
          <w:sz w:val="28"/>
          <w:szCs w:val="28"/>
          <w:lang w:val="es-MX"/>
        </w:rPr>
        <w:footnoteReference w:id="51"/>
      </w:r>
      <w:r w:rsidR="00E0001E">
        <w:rPr>
          <w:rFonts w:ascii="Times New Roman" w:hAnsi="Times New Roman" w:cs="Times New Roman"/>
          <w:sz w:val="28"/>
          <w:szCs w:val="28"/>
          <w:lang w:val="es-MX"/>
        </w:rPr>
        <w:t>. Dentro del contexto del contrato de compraventa los autores dicen que  des el daño accidental que puede sufrir la cosa objeto del contrato, entendiéndose por daño la destrucción, deterioro, robo de la misma. Advierten que el caso de robo</w:t>
      </w:r>
      <w:r w:rsidR="002D3B53">
        <w:rPr>
          <w:rFonts w:ascii="Times New Roman" w:hAnsi="Times New Roman" w:cs="Times New Roman"/>
          <w:sz w:val="28"/>
          <w:szCs w:val="28"/>
          <w:lang w:val="es-MX"/>
        </w:rPr>
        <w:t xml:space="preserve"> supone la desaparición de la cosa, en tanto que en los otros casos cabe hablar de reparar la cosa.</w:t>
      </w:r>
    </w:p>
    <w:p w:rsidR="00E9614E" w:rsidRDefault="00E9614E" w:rsidP="00A1116F">
      <w:pPr>
        <w:spacing w:line="360" w:lineRule="auto"/>
        <w:ind w:left="357"/>
        <w:jc w:val="both"/>
        <w:rPr>
          <w:rFonts w:ascii="Times New Roman" w:hAnsi="Times New Roman" w:cs="Times New Roman"/>
          <w:sz w:val="28"/>
          <w:szCs w:val="28"/>
          <w:lang w:val="es-MX"/>
        </w:rPr>
      </w:pPr>
    </w:p>
    <w:p w:rsidR="00E9614E" w:rsidRDefault="00E9614E"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Pese a que mucho del riesgo suele estar  solventado mediante el contrato de seguro, la autonomía de la voluntad, las normas de </w:t>
      </w:r>
      <w:smartTag w:uri="urn:schemas-microsoft-com:office:smarttags" w:element="PersonName">
        <w:smartTagPr>
          <w:attr w:name="ProductID" w:val="la CV"/>
        </w:smartTagPr>
        <w:r>
          <w:rPr>
            <w:rFonts w:ascii="Times New Roman" w:hAnsi="Times New Roman" w:cs="Times New Roman"/>
            <w:sz w:val="28"/>
            <w:szCs w:val="28"/>
            <w:lang w:val="es-MX"/>
          </w:rPr>
          <w:t>la CV</w:t>
        </w:r>
      </w:smartTag>
      <w:r>
        <w:rPr>
          <w:rFonts w:ascii="Times New Roman" w:hAnsi="Times New Roman" w:cs="Times New Roman"/>
          <w:sz w:val="28"/>
          <w:szCs w:val="28"/>
          <w:lang w:val="es-MX"/>
        </w:rPr>
        <w:t xml:space="preserve"> y los Incoterms, tienen mucho que decir sobre este tema.</w:t>
      </w:r>
      <w:r w:rsidR="001200DB">
        <w:rPr>
          <w:rFonts w:ascii="Times New Roman" w:hAnsi="Times New Roman" w:cs="Times New Roman"/>
          <w:sz w:val="28"/>
          <w:szCs w:val="28"/>
          <w:lang w:val="es-MX"/>
        </w:rPr>
        <w:t xml:space="preserve"> Juan Francisco Terán Sunca en su trabajo  monográfico  de modo amplio alude  a la transmisión del riesgo en las convenciones Internacionales y en los Incoterms versión 2000. Igualmente se refiere a la autonomía de la voluntad</w:t>
      </w:r>
      <w:r w:rsidR="00755675">
        <w:rPr>
          <w:rStyle w:val="FootnoteReference"/>
          <w:rFonts w:ascii="Times New Roman" w:hAnsi="Times New Roman" w:cs="Times New Roman"/>
          <w:sz w:val="28"/>
          <w:szCs w:val="28"/>
          <w:lang w:val="es-MX"/>
        </w:rPr>
        <w:footnoteReference w:id="52"/>
      </w:r>
      <w:r w:rsidR="00755675">
        <w:rPr>
          <w:rFonts w:ascii="Times New Roman" w:hAnsi="Times New Roman" w:cs="Times New Roman"/>
          <w:sz w:val="28"/>
          <w:szCs w:val="28"/>
          <w:lang w:val="es-MX"/>
        </w:rPr>
        <w:t>.</w:t>
      </w:r>
      <w:r w:rsidR="001200DB">
        <w:rPr>
          <w:rFonts w:ascii="Times New Roman" w:hAnsi="Times New Roman" w:cs="Times New Roman"/>
          <w:sz w:val="28"/>
          <w:szCs w:val="28"/>
          <w:lang w:val="es-MX"/>
        </w:rPr>
        <w:t xml:space="preserve"> de</w:t>
      </w:r>
      <w:r>
        <w:rPr>
          <w:rFonts w:ascii="Times New Roman" w:hAnsi="Times New Roman" w:cs="Times New Roman"/>
          <w:sz w:val="28"/>
          <w:szCs w:val="28"/>
          <w:lang w:val="es-MX"/>
        </w:rPr>
        <w:t xml:space="preserve"> Entre los aforismo jurídicos sobre los bienes destaca el denominado </w:t>
      </w:r>
      <w:r w:rsidRPr="00E9614E">
        <w:rPr>
          <w:rFonts w:ascii="Times New Roman" w:hAnsi="Times New Roman" w:cs="Times New Roman"/>
          <w:i/>
          <w:sz w:val="28"/>
          <w:szCs w:val="28"/>
          <w:lang w:val="es-MX"/>
        </w:rPr>
        <w:t>Res perit domino</w:t>
      </w:r>
      <w:r>
        <w:rPr>
          <w:rFonts w:ascii="Times New Roman" w:hAnsi="Times New Roman" w:cs="Times New Roman"/>
          <w:sz w:val="28"/>
          <w:szCs w:val="28"/>
          <w:lang w:val="es-MX"/>
        </w:rPr>
        <w:t xml:space="preserve"> que se traduce </w:t>
      </w:r>
      <w:r w:rsidRPr="00E9614E">
        <w:rPr>
          <w:rFonts w:ascii="Times New Roman" w:hAnsi="Times New Roman" w:cs="Times New Roman"/>
          <w:i/>
          <w:sz w:val="28"/>
          <w:szCs w:val="28"/>
          <w:lang w:val="es-MX"/>
        </w:rPr>
        <w:t>La cosa perece para su dueño</w:t>
      </w:r>
      <w:r>
        <w:rPr>
          <w:rFonts w:ascii="Times New Roman" w:hAnsi="Times New Roman" w:cs="Times New Roman"/>
          <w:sz w:val="28"/>
          <w:szCs w:val="28"/>
          <w:lang w:val="es-MX"/>
        </w:rPr>
        <w:t xml:space="preserve"> o </w:t>
      </w:r>
      <w:r w:rsidRPr="00E9614E">
        <w:rPr>
          <w:rFonts w:ascii="Times New Roman" w:hAnsi="Times New Roman" w:cs="Times New Roman"/>
          <w:i/>
          <w:sz w:val="28"/>
          <w:szCs w:val="28"/>
          <w:lang w:val="es-MX"/>
        </w:rPr>
        <w:t>The think is lost to the owner</w:t>
      </w:r>
      <w:r>
        <w:rPr>
          <w:rFonts w:ascii="Times New Roman" w:hAnsi="Times New Roman" w:cs="Times New Roman"/>
          <w:i/>
          <w:sz w:val="28"/>
          <w:szCs w:val="28"/>
          <w:lang w:val="es-MX"/>
        </w:rPr>
        <w:t>.</w:t>
      </w:r>
      <w:r>
        <w:rPr>
          <w:rFonts w:ascii="Times New Roman" w:hAnsi="Times New Roman" w:cs="Times New Roman"/>
          <w:sz w:val="28"/>
          <w:szCs w:val="28"/>
          <w:lang w:val="es-MX"/>
        </w:rPr>
        <w:t xml:space="preserve"> Ello, porque al fin y al cabo, el </w:t>
      </w:r>
      <w:r w:rsidR="004D3696">
        <w:rPr>
          <w:rFonts w:ascii="Times New Roman" w:hAnsi="Times New Roman" w:cs="Times New Roman"/>
          <w:sz w:val="28"/>
          <w:szCs w:val="28"/>
          <w:lang w:val="es-MX"/>
        </w:rPr>
        <w:t>propietario</w:t>
      </w:r>
      <w:r>
        <w:rPr>
          <w:rFonts w:ascii="Times New Roman" w:hAnsi="Times New Roman" w:cs="Times New Roman"/>
          <w:sz w:val="28"/>
          <w:szCs w:val="28"/>
          <w:lang w:val="es-MX"/>
        </w:rPr>
        <w:t xml:space="preserve"> es el último responsable, por ser quién tiene mayor interés sobre la misma cosa</w:t>
      </w:r>
      <w:r>
        <w:rPr>
          <w:rStyle w:val="FootnoteReference"/>
          <w:rFonts w:ascii="Times New Roman" w:hAnsi="Times New Roman" w:cs="Times New Roman"/>
          <w:sz w:val="28"/>
          <w:szCs w:val="28"/>
          <w:lang w:val="es-MX"/>
        </w:rPr>
        <w:footnoteReference w:id="53"/>
      </w:r>
      <w:r>
        <w:rPr>
          <w:rFonts w:ascii="Times New Roman" w:hAnsi="Times New Roman" w:cs="Times New Roman"/>
          <w:sz w:val="28"/>
          <w:szCs w:val="28"/>
          <w:lang w:val="es-MX"/>
        </w:rPr>
        <w:t>.</w:t>
      </w:r>
      <w:r w:rsidR="004D3696">
        <w:rPr>
          <w:rFonts w:ascii="Times New Roman" w:hAnsi="Times New Roman" w:cs="Times New Roman"/>
          <w:sz w:val="28"/>
          <w:szCs w:val="28"/>
          <w:lang w:val="es-MX"/>
        </w:rPr>
        <w:t xml:space="preserve"> Es de destacar que  el aforismo de la referencia es común a los sistemas jurídicos siempre aludidos. El que las cosas perecen para su dueño connota que el riesgo es asumido por él.  </w:t>
      </w:r>
      <w:smartTag w:uri="urn:schemas-microsoft-com:office:smarttags" w:element="PersonName">
        <w:smartTagPr>
          <w:attr w:name="ProductID" w:val="la CV"/>
        </w:smartTagPr>
        <w:r w:rsidR="004D3696">
          <w:rPr>
            <w:rFonts w:ascii="Times New Roman" w:hAnsi="Times New Roman" w:cs="Times New Roman"/>
            <w:sz w:val="28"/>
            <w:szCs w:val="28"/>
            <w:lang w:val="es-MX"/>
          </w:rPr>
          <w:t>La CV</w:t>
        </w:r>
      </w:smartTag>
      <w:r w:rsidR="004D3696">
        <w:rPr>
          <w:rFonts w:ascii="Times New Roman" w:hAnsi="Times New Roman" w:cs="Times New Roman"/>
          <w:sz w:val="28"/>
          <w:szCs w:val="28"/>
          <w:lang w:val="es-MX"/>
        </w:rPr>
        <w:t xml:space="preserve"> puede explicarse al amparo de dicho  aforismo y de allí que lo trascendente es determinar, no tanto  quién corresponde el riesgo, </w:t>
      </w:r>
      <w:r w:rsidR="004D3696">
        <w:rPr>
          <w:rFonts w:ascii="Times New Roman" w:hAnsi="Times New Roman" w:cs="Times New Roman"/>
          <w:sz w:val="28"/>
          <w:szCs w:val="28"/>
          <w:lang w:val="es-MX"/>
        </w:rPr>
        <w:lastRenderedPageBreak/>
        <w:t>cuanto el momento en que se transmite el riesgo.</w:t>
      </w:r>
      <w:r w:rsidR="00E87F0B">
        <w:rPr>
          <w:rFonts w:ascii="Times New Roman" w:hAnsi="Times New Roman" w:cs="Times New Roman"/>
          <w:sz w:val="28"/>
          <w:szCs w:val="28"/>
          <w:lang w:val="es-MX"/>
        </w:rPr>
        <w:t xml:space="preserve"> Los artículos señalados de </w:t>
      </w:r>
      <w:smartTag w:uri="urn:schemas-microsoft-com:office:smarttags" w:element="PersonName">
        <w:smartTagPr>
          <w:attr w:name="ProductID" w:val="la CV"/>
        </w:smartTagPr>
        <w:r w:rsidR="00E87F0B">
          <w:rPr>
            <w:rFonts w:ascii="Times New Roman" w:hAnsi="Times New Roman" w:cs="Times New Roman"/>
            <w:sz w:val="28"/>
            <w:szCs w:val="28"/>
            <w:lang w:val="es-MX"/>
          </w:rPr>
          <w:t>la CV</w:t>
        </w:r>
      </w:smartTag>
      <w:r w:rsidR="00E87F0B">
        <w:rPr>
          <w:rFonts w:ascii="Times New Roman" w:hAnsi="Times New Roman" w:cs="Times New Roman"/>
          <w:sz w:val="28"/>
          <w:szCs w:val="28"/>
          <w:lang w:val="es-MX"/>
        </w:rPr>
        <w:t>, en su orden tratan de la pérdida o deterioro de las mercaderías después de la transmisión del riesgo al comprador; del riesgo  cuando implica transporte; de la venta de mercaderías en tránsito; y, del riesgo en caso de incumplimiento del vendedor.</w:t>
      </w:r>
    </w:p>
    <w:p w:rsidR="00E87F0B" w:rsidRDefault="00E87F0B" w:rsidP="00A1116F">
      <w:pPr>
        <w:spacing w:line="360" w:lineRule="auto"/>
        <w:ind w:left="357"/>
        <w:jc w:val="both"/>
        <w:rPr>
          <w:rFonts w:ascii="Times New Roman" w:hAnsi="Times New Roman" w:cs="Times New Roman"/>
          <w:sz w:val="28"/>
          <w:szCs w:val="28"/>
          <w:lang w:val="es-MX"/>
        </w:rPr>
      </w:pPr>
    </w:p>
    <w:p w:rsidR="00E87F0B" w:rsidRDefault="00E87F0B"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Según Oliva Blázquez, cuyo esquema se sigue, al amparo de </w:t>
      </w:r>
      <w:smartTag w:uri="urn:schemas-microsoft-com:office:smarttags" w:element="PersonName">
        <w:smartTagPr>
          <w:attr w:name="ProductID" w:val="la CV"/>
        </w:smartTagPr>
        <w:r>
          <w:rPr>
            <w:rFonts w:ascii="Times New Roman" w:hAnsi="Times New Roman" w:cs="Times New Roman"/>
            <w:sz w:val="28"/>
            <w:szCs w:val="28"/>
            <w:lang w:val="es-MX"/>
          </w:rPr>
          <w:t>la CV</w:t>
        </w:r>
      </w:smartTag>
      <w:r>
        <w:rPr>
          <w:rFonts w:ascii="Times New Roman" w:hAnsi="Times New Roman" w:cs="Times New Roman"/>
          <w:sz w:val="28"/>
          <w:szCs w:val="28"/>
          <w:lang w:val="es-MX"/>
        </w:rPr>
        <w:t xml:space="preserve"> es de aseverar que </w:t>
      </w:r>
      <w:r w:rsidRPr="00DA03C3">
        <w:rPr>
          <w:rFonts w:ascii="Times New Roman" w:hAnsi="Times New Roman" w:cs="Times New Roman"/>
          <w:i/>
          <w:sz w:val="28"/>
          <w:szCs w:val="28"/>
          <w:lang w:val="es-MX"/>
        </w:rPr>
        <w:t>normalmente asume el riesgo</w:t>
      </w:r>
      <w:r w:rsidR="00DA03C3" w:rsidRPr="00DA03C3">
        <w:rPr>
          <w:rFonts w:ascii="Times New Roman" w:hAnsi="Times New Roman" w:cs="Times New Roman"/>
          <w:i/>
          <w:sz w:val="28"/>
          <w:szCs w:val="28"/>
          <w:lang w:val="es-MX"/>
        </w:rPr>
        <w:t xml:space="preserve"> aquel contratante que tiene el control, de las mercaderías, y que será el que tenga la posibilidad de asegurarlas contra los eventos fortuitos</w:t>
      </w:r>
      <w:r w:rsidR="00DA03C3">
        <w:rPr>
          <w:rStyle w:val="FootnoteReference"/>
          <w:rFonts w:ascii="Times New Roman" w:hAnsi="Times New Roman" w:cs="Times New Roman"/>
          <w:i/>
          <w:sz w:val="28"/>
          <w:szCs w:val="28"/>
          <w:lang w:val="es-MX"/>
        </w:rPr>
        <w:footnoteReference w:id="54"/>
      </w:r>
      <w:r w:rsidR="00DA03C3">
        <w:rPr>
          <w:rFonts w:ascii="Times New Roman" w:hAnsi="Times New Roman" w:cs="Times New Roman"/>
          <w:sz w:val="28"/>
          <w:szCs w:val="28"/>
          <w:lang w:val="es-MX"/>
        </w:rPr>
        <w:t xml:space="preserve">. El artículo 67 concierne tanto al vendedor como al comprador cuando se han comprometido al transporte de las </w:t>
      </w:r>
      <w:r w:rsidR="00DD4553">
        <w:rPr>
          <w:rFonts w:ascii="Times New Roman" w:hAnsi="Times New Roman" w:cs="Times New Roman"/>
          <w:sz w:val="28"/>
          <w:szCs w:val="28"/>
          <w:lang w:val="es-MX"/>
        </w:rPr>
        <w:t>mercaderías y el riesgo se transmite al momento en que se las entrega al porteador. La retención de los documentos representativos de las mercaderías por el vendedor, no altera la norma indicada. El riesgo no se transmitirá si las mercaderías no se encuentran claramente identificadas.</w:t>
      </w:r>
      <w:r w:rsidR="008B5176">
        <w:rPr>
          <w:rFonts w:ascii="Times New Roman" w:hAnsi="Times New Roman" w:cs="Times New Roman"/>
          <w:sz w:val="28"/>
          <w:szCs w:val="28"/>
          <w:lang w:val="es-MX"/>
        </w:rPr>
        <w:t xml:space="preserve"> </w:t>
      </w:r>
    </w:p>
    <w:p w:rsidR="008B5176" w:rsidRDefault="008B5176" w:rsidP="00A1116F">
      <w:pPr>
        <w:spacing w:line="360" w:lineRule="auto"/>
        <w:ind w:left="357"/>
        <w:jc w:val="both"/>
        <w:rPr>
          <w:rFonts w:ascii="Times New Roman" w:hAnsi="Times New Roman" w:cs="Times New Roman"/>
          <w:sz w:val="28"/>
          <w:szCs w:val="28"/>
          <w:lang w:val="es-MX"/>
        </w:rPr>
      </w:pPr>
    </w:p>
    <w:p w:rsidR="008B5176" w:rsidRDefault="008B5176"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La transmisión del riesgo de las mercaderías en tránsito se analizan bajo el supuesto de que el porteador entregará las mercaderías no a un destinatario concreto sino al poseedor definitivo desconocimiento de embarque, </w:t>
      </w:r>
      <w:r w:rsidRPr="008B5176">
        <w:rPr>
          <w:rFonts w:ascii="Times New Roman" w:hAnsi="Times New Roman" w:cs="Times New Roman"/>
          <w:i/>
          <w:sz w:val="28"/>
          <w:szCs w:val="28"/>
          <w:lang w:val="es-MX"/>
        </w:rPr>
        <w:t>sales of goods afloat</w:t>
      </w:r>
      <w:r>
        <w:rPr>
          <w:rFonts w:ascii="Times New Roman" w:hAnsi="Times New Roman" w:cs="Times New Roman"/>
          <w:sz w:val="28"/>
          <w:szCs w:val="28"/>
          <w:lang w:val="es-MX"/>
        </w:rPr>
        <w:t xml:space="preserve">. </w:t>
      </w:r>
      <w:r w:rsidR="00E23AE8">
        <w:rPr>
          <w:rFonts w:ascii="Times New Roman" w:hAnsi="Times New Roman" w:cs="Times New Roman"/>
          <w:sz w:val="28"/>
          <w:szCs w:val="28"/>
          <w:lang w:val="es-MX"/>
        </w:rPr>
        <w:t xml:space="preserve">El artículo 68, en este tipo de transacciones, prevé que el riesgo se transmite al comprador desde que se hace cargo de las mercaderías, El riego será de cuenta del vendedor si hubiese conocido de las pérdida o deterioro de las mercaderías y </w:t>
      </w:r>
      <w:r w:rsidR="00C23475">
        <w:rPr>
          <w:rFonts w:ascii="Times New Roman" w:hAnsi="Times New Roman" w:cs="Times New Roman"/>
          <w:sz w:val="28"/>
          <w:szCs w:val="28"/>
          <w:lang w:val="es-MX"/>
        </w:rPr>
        <w:t>hubiere</w:t>
      </w:r>
      <w:r w:rsidR="00E23AE8">
        <w:rPr>
          <w:rFonts w:ascii="Times New Roman" w:hAnsi="Times New Roman" w:cs="Times New Roman"/>
          <w:sz w:val="28"/>
          <w:szCs w:val="28"/>
          <w:lang w:val="es-MX"/>
        </w:rPr>
        <w:t xml:space="preserve"> hecho conocer del particular al comprador. Es  una aplicación del principio de buena fe.</w:t>
      </w:r>
    </w:p>
    <w:p w:rsidR="00E23AE8" w:rsidRDefault="00E23AE8" w:rsidP="00A1116F">
      <w:pPr>
        <w:spacing w:line="360" w:lineRule="auto"/>
        <w:ind w:left="357"/>
        <w:jc w:val="both"/>
        <w:rPr>
          <w:rFonts w:ascii="Times New Roman" w:hAnsi="Times New Roman" w:cs="Times New Roman"/>
          <w:sz w:val="28"/>
          <w:szCs w:val="28"/>
          <w:lang w:val="es-MX"/>
        </w:rPr>
      </w:pPr>
    </w:p>
    <w:p w:rsidR="00E23AE8" w:rsidRDefault="00E23AE8"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lastRenderedPageBreak/>
        <w:t xml:space="preserve">El artículo 69 es subsidiario con relación a los tres inmediatamente anteriores. El numeral 1) prevé que el riesgo se transmite al comprador desde que se hace cargo de las mercaderías o son </w:t>
      </w:r>
      <w:r w:rsidR="00C23475">
        <w:rPr>
          <w:rFonts w:ascii="Times New Roman" w:hAnsi="Times New Roman" w:cs="Times New Roman"/>
          <w:sz w:val="28"/>
          <w:szCs w:val="28"/>
          <w:lang w:val="es-MX"/>
        </w:rPr>
        <w:t>dispuestas</w:t>
      </w:r>
      <w:r>
        <w:rPr>
          <w:rFonts w:ascii="Times New Roman" w:hAnsi="Times New Roman" w:cs="Times New Roman"/>
          <w:sz w:val="28"/>
          <w:szCs w:val="28"/>
          <w:lang w:val="es-MX"/>
        </w:rPr>
        <w:t xml:space="preserve"> las mismas a su disposición, a menos que válidamente </w:t>
      </w:r>
      <w:r w:rsidR="00C23475">
        <w:rPr>
          <w:rFonts w:ascii="Times New Roman" w:hAnsi="Times New Roman" w:cs="Times New Roman"/>
          <w:sz w:val="28"/>
          <w:szCs w:val="28"/>
          <w:lang w:val="es-MX"/>
        </w:rPr>
        <w:t>rehúse</w:t>
      </w:r>
      <w:r>
        <w:rPr>
          <w:rFonts w:ascii="Times New Roman" w:hAnsi="Times New Roman" w:cs="Times New Roman"/>
          <w:sz w:val="28"/>
          <w:szCs w:val="28"/>
          <w:lang w:val="es-MX"/>
        </w:rPr>
        <w:t xml:space="preserve"> la entrega. El numeral 2)</w:t>
      </w:r>
      <w:r w:rsidR="00C23475">
        <w:rPr>
          <w:rFonts w:ascii="Times New Roman" w:hAnsi="Times New Roman" w:cs="Times New Roman"/>
          <w:sz w:val="28"/>
          <w:szCs w:val="28"/>
          <w:lang w:val="es-MX"/>
        </w:rPr>
        <w:t xml:space="preserve"> señala que el riego se transmite al comprador cuando las mercaderías se ponen a su disposición en un lugar convenido distinto de su establecimiento.</w:t>
      </w:r>
      <w:r>
        <w:rPr>
          <w:rFonts w:ascii="Times New Roman" w:hAnsi="Times New Roman" w:cs="Times New Roman"/>
          <w:sz w:val="28"/>
          <w:szCs w:val="28"/>
          <w:lang w:val="es-MX"/>
        </w:rPr>
        <w:t xml:space="preserve"> </w:t>
      </w:r>
      <w:r w:rsidR="00C23475">
        <w:rPr>
          <w:rFonts w:ascii="Times New Roman" w:hAnsi="Times New Roman" w:cs="Times New Roman"/>
          <w:sz w:val="28"/>
          <w:szCs w:val="28"/>
          <w:lang w:val="es-MX"/>
        </w:rPr>
        <w:t>El numeral  3) En los casos de ventas de mercaderías sin identificar el riesgo se transmite al comprador cuando estén claramente identificadas.</w:t>
      </w:r>
    </w:p>
    <w:p w:rsidR="00C23475" w:rsidRDefault="00C23475" w:rsidP="00A1116F">
      <w:pPr>
        <w:spacing w:line="360" w:lineRule="auto"/>
        <w:ind w:left="357"/>
        <w:jc w:val="both"/>
        <w:rPr>
          <w:rFonts w:ascii="Times New Roman" w:hAnsi="Times New Roman" w:cs="Times New Roman"/>
          <w:sz w:val="28"/>
          <w:szCs w:val="28"/>
          <w:lang w:val="es-MX"/>
        </w:rPr>
      </w:pPr>
    </w:p>
    <w:p w:rsidR="00C23475" w:rsidRDefault="00C23475" w:rsidP="00A1116F">
      <w:pPr>
        <w:spacing w:line="360" w:lineRule="auto"/>
        <w:ind w:left="357"/>
        <w:jc w:val="both"/>
        <w:rPr>
          <w:rFonts w:ascii="Times New Roman" w:hAnsi="Times New Roman" w:cs="Times New Roman"/>
          <w:sz w:val="28"/>
          <w:szCs w:val="28"/>
          <w:lang w:val="es-MX"/>
        </w:rPr>
      </w:pPr>
      <w:r>
        <w:rPr>
          <w:rFonts w:ascii="Times New Roman" w:hAnsi="Times New Roman" w:cs="Times New Roman"/>
          <w:sz w:val="28"/>
          <w:szCs w:val="28"/>
          <w:lang w:val="es-MX"/>
        </w:rPr>
        <w:t xml:space="preserve">El artículo 70 trata de la transmisión del riesgo y el incumplimiento contractual. </w:t>
      </w:r>
      <w:r w:rsidR="00C54516">
        <w:rPr>
          <w:rFonts w:ascii="Times New Roman" w:hAnsi="Times New Roman" w:cs="Times New Roman"/>
          <w:sz w:val="28"/>
          <w:szCs w:val="28"/>
          <w:lang w:val="es-MX"/>
        </w:rPr>
        <w:t xml:space="preserve">La disposición dice: </w:t>
      </w:r>
      <w:r w:rsidR="00C54516" w:rsidRPr="00C54516">
        <w:rPr>
          <w:rFonts w:ascii="Times New Roman" w:hAnsi="Times New Roman" w:cs="Times New Roman"/>
          <w:i/>
          <w:sz w:val="28"/>
          <w:szCs w:val="28"/>
          <w:lang w:val="es-MX"/>
        </w:rPr>
        <w:t xml:space="preserve">Si el vendedor ha incurrido en incumplimiento esencial del contrato, las disposiciones de los artículos 67, 68 y 69 no afectarán a los derechos y acciones de que </w:t>
      </w:r>
      <w:r w:rsidR="00F677D2">
        <w:rPr>
          <w:rFonts w:ascii="Times New Roman" w:hAnsi="Times New Roman" w:cs="Times New Roman"/>
          <w:i/>
          <w:sz w:val="28"/>
          <w:szCs w:val="28"/>
          <w:lang w:val="es-MX"/>
        </w:rPr>
        <w:t xml:space="preserve">disponga el </w:t>
      </w:r>
      <w:r w:rsidR="00C54516" w:rsidRPr="00C54516">
        <w:rPr>
          <w:rFonts w:ascii="Times New Roman" w:hAnsi="Times New Roman" w:cs="Times New Roman"/>
          <w:i/>
          <w:sz w:val="28"/>
          <w:szCs w:val="28"/>
          <w:lang w:val="es-MX"/>
        </w:rPr>
        <w:t>comprador como consecuencia del incumplimiento</w:t>
      </w:r>
      <w:r w:rsidR="00C54516">
        <w:rPr>
          <w:rFonts w:ascii="Times New Roman" w:hAnsi="Times New Roman" w:cs="Times New Roman"/>
          <w:sz w:val="28"/>
          <w:szCs w:val="28"/>
          <w:lang w:val="es-MX"/>
        </w:rPr>
        <w:t>.</w:t>
      </w:r>
      <w:r w:rsidR="00F677D2">
        <w:rPr>
          <w:rFonts w:ascii="Times New Roman" w:hAnsi="Times New Roman" w:cs="Times New Roman"/>
          <w:sz w:val="28"/>
          <w:szCs w:val="28"/>
          <w:lang w:val="es-MX"/>
        </w:rPr>
        <w:t xml:space="preserve"> El problema según Oliva Blázquez, antes mencionado, </w:t>
      </w:r>
      <w:r w:rsidR="00F677D2" w:rsidRPr="00F677D2">
        <w:rPr>
          <w:rFonts w:ascii="Times New Roman" w:hAnsi="Times New Roman" w:cs="Times New Roman"/>
          <w:i/>
          <w:sz w:val="28"/>
          <w:szCs w:val="28"/>
          <w:lang w:val="es-MX"/>
        </w:rPr>
        <w:t>consiste básicamente en determinar qué ocurre cuando el vendedor incurre en un incumplimiento contractual, habiéndose transmitido válidamente el riego al comprador</w:t>
      </w:r>
      <w:r w:rsidR="00F677D2">
        <w:rPr>
          <w:rFonts w:ascii="Times New Roman" w:hAnsi="Times New Roman" w:cs="Times New Roman"/>
          <w:sz w:val="28"/>
          <w:szCs w:val="28"/>
          <w:lang w:val="es-MX"/>
        </w:rPr>
        <w:t xml:space="preserve">. Para </w:t>
      </w:r>
      <w:smartTag w:uri="urn:schemas-microsoft-com:office:smarttags" w:element="PersonName">
        <w:smartTagPr>
          <w:attr w:name="ProductID" w:val="la CV"/>
        </w:smartTagPr>
        <w:r w:rsidR="00F677D2">
          <w:rPr>
            <w:rFonts w:ascii="Times New Roman" w:hAnsi="Times New Roman" w:cs="Times New Roman"/>
            <w:sz w:val="28"/>
            <w:szCs w:val="28"/>
            <w:lang w:val="es-MX"/>
          </w:rPr>
          <w:t>la CV</w:t>
        </w:r>
      </w:smartTag>
      <w:r w:rsidR="00F677D2">
        <w:rPr>
          <w:rFonts w:ascii="Times New Roman" w:hAnsi="Times New Roman" w:cs="Times New Roman"/>
          <w:sz w:val="28"/>
          <w:szCs w:val="28"/>
          <w:lang w:val="es-MX"/>
        </w:rPr>
        <w:t xml:space="preserve"> el incumplimiento esencial del vendedor no  enerva la transmisión del riesgo al comprador. </w:t>
      </w:r>
      <w:smartTag w:uri="urn:schemas-microsoft-com:office:smarttags" w:element="PersonName">
        <w:smartTagPr>
          <w:attr w:name="ProductID" w:val="la CV"/>
        </w:smartTagPr>
        <w:r w:rsidR="00F677D2">
          <w:rPr>
            <w:rFonts w:ascii="Times New Roman" w:hAnsi="Times New Roman" w:cs="Times New Roman"/>
            <w:sz w:val="28"/>
            <w:szCs w:val="28"/>
            <w:lang w:val="es-MX"/>
          </w:rPr>
          <w:t>La CV</w:t>
        </w:r>
      </w:smartTag>
      <w:r w:rsidR="00F677D2">
        <w:rPr>
          <w:rFonts w:ascii="Times New Roman" w:hAnsi="Times New Roman" w:cs="Times New Roman"/>
          <w:sz w:val="28"/>
          <w:szCs w:val="28"/>
          <w:lang w:val="es-MX"/>
        </w:rPr>
        <w:t xml:space="preserve"> favorece dentro de lo posible la subsistencia del contrato. Aquí nuevamente aparece el concepto de incumplimiento esencial el cual se reitera es de difícil discernimiento pese a que se encuentra  definido en el artículo 25</w:t>
      </w:r>
      <w:r w:rsidR="001200DB">
        <w:rPr>
          <w:rFonts w:ascii="Times New Roman" w:hAnsi="Times New Roman" w:cs="Times New Roman"/>
          <w:sz w:val="28"/>
          <w:szCs w:val="28"/>
          <w:lang w:val="es-MX"/>
        </w:rPr>
        <w:t>, concepto, que es de anotar, se aplica también al ejercicio del derecho de resolución del contrato previsto en los artículos 49 y 64 y de sustitución de las mercaderías referido en el artículo 46 2). Las precisiones se espera</w:t>
      </w:r>
      <w:r w:rsidR="00CD0A12">
        <w:rPr>
          <w:rFonts w:ascii="Times New Roman" w:hAnsi="Times New Roman" w:cs="Times New Roman"/>
          <w:sz w:val="28"/>
          <w:szCs w:val="28"/>
          <w:lang w:val="es-MX"/>
        </w:rPr>
        <w:t>n</w:t>
      </w:r>
      <w:r w:rsidR="001200DB">
        <w:rPr>
          <w:rFonts w:ascii="Times New Roman" w:hAnsi="Times New Roman" w:cs="Times New Roman"/>
          <w:sz w:val="28"/>
          <w:szCs w:val="28"/>
          <w:lang w:val="es-MX"/>
        </w:rPr>
        <w:t xml:space="preserve"> de la jurisprudencia.</w:t>
      </w:r>
      <w:r w:rsidR="00F677D2">
        <w:rPr>
          <w:rFonts w:ascii="Times New Roman" w:hAnsi="Times New Roman" w:cs="Times New Roman"/>
          <w:sz w:val="28"/>
          <w:szCs w:val="28"/>
          <w:lang w:val="es-MX"/>
        </w:rPr>
        <w:t xml:space="preserve"> </w:t>
      </w:r>
    </w:p>
    <w:p w:rsidR="00D73082" w:rsidRPr="00E33A7C" w:rsidRDefault="00CD0A12" w:rsidP="00CD0A12">
      <w:pPr>
        <w:spacing w:line="360" w:lineRule="auto"/>
        <w:ind w:left="357"/>
        <w:jc w:val="right"/>
        <w:rPr>
          <w:rFonts w:ascii="Times New Roman" w:hAnsi="Times New Roman" w:cs="Times New Roman"/>
          <w:sz w:val="28"/>
          <w:szCs w:val="28"/>
          <w:lang w:val="es-MX"/>
        </w:rPr>
      </w:pPr>
      <w:r>
        <w:rPr>
          <w:rFonts w:ascii="Times New Roman" w:hAnsi="Times New Roman" w:cs="Times New Roman"/>
          <w:sz w:val="28"/>
          <w:szCs w:val="28"/>
          <w:lang w:val="es-MX"/>
        </w:rPr>
        <w:t>Quito, noviembre de 2009</w:t>
      </w:r>
    </w:p>
    <w:p w:rsidR="00B353FC" w:rsidRPr="00E33A7C" w:rsidRDefault="00B353FC" w:rsidP="00CD0A12">
      <w:pPr>
        <w:spacing w:line="360" w:lineRule="auto"/>
        <w:ind w:left="357"/>
        <w:jc w:val="both"/>
        <w:rPr>
          <w:rFonts w:ascii="Times New Roman" w:hAnsi="Times New Roman" w:cs="Times New Roman"/>
          <w:sz w:val="28"/>
          <w:szCs w:val="28"/>
          <w:lang w:val="es-MX"/>
        </w:rPr>
      </w:pPr>
    </w:p>
    <w:sectPr w:rsidR="00B353FC" w:rsidRPr="00E33A7C">
      <w:headerReference w:type="default" r:id="rId7"/>
      <w:footerReference w:type="even"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F0A41" w:rsidRDefault="000F0A41">
      <w:r>
        <w:separator/>
      </w:r>
    </w:p>
  </w:endnote>
  <w:endnote w:type="continuationSeparator" w:id="0">
    <w:p w:rsidR="000F0A41" w:rsidRDefault="000F0A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Brush Script MT">
    <w:panose1 w:val="03060802040406070304"/>
    <w:charset w:val="00"/>
    <w:family w:val="script"/>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E5" w:rsidRDefault="006F4FE5" w:rsidP="000905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F4FE5" w:rsidRDefault="006F4FE5" w:rsidP="00F4522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4FE5" w:rsidRDefault="006F4FE5" w:rsidP="0009055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764A63">
      <w:rPr>
        <w:rStyle w:val="PageNumber"/>
        <w:noProof/>
      </w:rPr>
      <w:t>1</w:t>
    </w:r>
    <w:r>
      <w:rPr>
        <w:rStyle w:val="PageNumber"/>
      </w:rPr>
      <w:fldChar w:fldCharType="end"/>
    </w:r>
  </w:p>
  <w:p w:rsidR="006F4FE5" w:rsidRDefault="006F4FE5" w:rsidP="00F4522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F0A41" w:rsidRDefault="000F0A41">
      <w:r>
        <w:separator/>
      </w:r>
    </w:p>
  </w:footnote>
  <w:footnote w:type="continuationSeparator" w:id="0">
    <w:p w:rsidR="000F0A41" w:rsidRDefault="000F0A41">
      <w:r>
        <w:continuationSeparator/>
      </w:r>
    </w:p>
  </w:footnote>
  <w:footnote w:id="1">
    <w:p w:rsidR="006F4FE5" w:rsidRPr="00E41A6B" w:rsidRDefault="006F4FE5">
      <w:pPr>
        <w:pStyle w:val="FootnoteText"/>
        <w:rPr>
          <w:lang w:val="es-MX"/>
        </w:rPr>
      </w:pPr>
      <w:r>
        <w:rPr>
          <w:rStyle w:val="FootnoteReference"/>
        </w:rPr>
        <w:footnoteRef/>
      </w:r>
      <w:r>
        <w:t xml:space="preserve"> </w:t>
      </w:r>
      <w:r>
        <w:rPr>
          <w:lang w:val="es-MX"/>
        </w:rPr>
        <w:t xml:space="preserve">RODRIGO URÍA, Derecho Mercantil,  TERCERA EDICIÓN,  Madrid MCMLXII, p- 414. </w:t>
      </w:r>
    </w:p>
  </w:footnote>
  <w:footnote w:id="2">
    <w:p w:rsidR="006F4FE5" w:rsidRPr="00747C9E" w:rsidRDefault="006F4FE5" w:rsidP="00747C9E">
      <w:pPr>
        <w:pStyle w:val="FootnoteText"/>
        <w:jc w:val="both"/>
        <w:rPr>
          <w:lang w:val="es-MX"/>
        </w:rPr>
      </w:pPr>
      <w:r>
        <w:rPr>
          <w:rStyle w:val="FootnoteReference"/>
        </w:rPr>
        <w:footnoteRef/>
      </w:r>
      <w:r>
        <w:t xml:space="preserve"> </w:t>
      </w:r>
      <w:r>
        <w:rPr>
          <w:lang w:val="es-MX"/>
        </w:rPr>
        <w:t xml:space="preserve">ALFONSO I. CALVO CARAVACA, LUIS FERNÁNDEZ DE </w:t>
      </w:r>
      <w:smartTag w:uri="urn:schemas-microsoft-com:office:smarttags" w:element="PersonName">
        <w:smartTagPr>
          <w:attr w:name="ProductID" w:val="LA G￁NDARA"/>
        </w:smartTagPr>
        <w:r>
          <w:rPr>
            <w:lang w:val="es-MX"/>
          </w:rPr>
          <w:t>LA GÁNDARA</w:t>
        </w:r>
      </w:smartTag>
      <w:r>
        <w:rPr>
          <w:lang w:val="es-MX"/>
        </w:rPr>
        <w:t xml:space="preserve"> (Directores) PILAR BLANCO-MORALES LIMONES (Coordinadora) </w:t>
      </w:r>
      <w:r w:rsidRPr="00747C9E">
        <w:rPr>
          <w:i/>
          <w:lang w:val="es-MX"/>
        </w:rPr>
        <w:t>Contratos Internacionales</w:t>
      </w:r>
      <w:r>
        <w:rPr>
          <w:lang w:val="es-MX"/>
        </w:rPr>
        <w:t>, EDITORIAL TECNOS S. A. Madrid, 1997, p. 147</w:t>
      </w:r>
    </w:p>
  </w:footnote>
  <w:footnote w:id="3">
    <w:p w:rsidR="006F4FE5" w:rsidRPr="00154456" w:rsidRDefault="006F4FE5">
      <w:pPr>
        <w:pStyle w:val="FootnoteText"/>
        <w:rPr>
          <w:lang w:val="es-MX"/>
        </w:rPr>
      </w:pPr>
      <w:r>
        <w:rPr>
          <w:rStyle w:val="FootnoteReference"/>
        </w:rPr>
        <w:footnoteRef/>
      </w:r>
      <w:r>
        <w:t xml:space="preserve"> </w:t>
      </w:r>
      <w:r>
        <w:rPr>
          <w:lang w:val="es-MX"/>
        </w:rPr>
        <w:t>JOSE VICENTE TROYA JARAMILLO, El carácter internacional de los contratos, en Revista FORO No. 5,  Universidad Andina Simón Bolívar, Corporación Editora Nacional,  I Semestre 2006, Quito, p. 49 y siguientes.</w:t>
      </w:r>
    </w:p>
  </w:footnote>
  <w:footnote w:id="4">
    <w:p w:rsidR="006F4FE5" w:rsidRPr="007B512F" w:rsidRDefault="006F4FE5">
      <w:pPr>
        <w:pStyle w:val="FootnoteText"/>
        <w:rPr>
          <w:lang w:val="es-MX"/>
        </w:rPr>
      </w:pPr>
    </w:p>
  </w:footnote>
  <w:footnote w:id="5">
    <w:p w:rsidR="006F4FE5" w:rsidRPr="004F6E54" w:rsidRDefault="006F4FE5">
      <w:pPr>
        <w:pStyle w:val="FootnoteText"/>
        <w:rPr>
          <w:lang w:val="es-MX"/>
        </w:rPr>
      </w:pPr>
      <w:r>
        <w:rPr>
          <w:rStyle w:val="FootnoteReference"/>
        </w:rPr>
        <w:footnoteRef/>
      </w:r>
      <w:r>
        <w:t xml:space="preserve"> CALVO CARAVACA, Obra citada, p. 146, 147.</w:t>
      </w:r>
    </w:p>
  </w:footnote>
  <w:footnote w:id="6">
    <w:p w:rsidR="006F4FE5" w:rsidRPr="00645704" w:rsidRDefault="006F4FE5" w:rsidP="00645704">
      <w:pPr>
        <w:pStyle w:val="FootnoteText"/>
        <w:jc w:val="both"/>
        <w:rPr>
          <w:lang w:val="es-MX"/>
        </w:rPr>
      </w:pPr>
      <w:r>
        <w:rPr>
          <w:rStyle w:val="FootnoteReference"/>
        </w:rPr>
        <w:footnoteRef/>
      </w:r>
      <w:r>
        <w:t xml:space="preserve"> JOAQUÍN FORNER DELAYGUA, GEOGINA GARRIGA SUAU, CAMEN PARRA RODRÍGUEZ, </w:t>
      </w:r>
      <w:r w:rsidRPr="00BD153B">
        <w:rPr>
          <w:i/>
        </w:rPr>
        <w:t>Materiales de Derecho del Comercio Internacional</w:t>
      </w:r>
      <w:r>
        <w:t>, tirant lo blanch, Valencia 2006, p. 31.</w:t>
      </w:r>
    </w:p>
  </w:footnote>
  <w:footnote w:id="7">
    <w:p w:rsidR="006F4FE5" w:rsidRPr="005A1013" w:rsidRDefault="006F4FE5">
      <w:pPr>
        <w:pStyle w:val="FootnoteText"/>
        <w:rPr>
          <w:lang w:val="es-MX"/>
        </w:rPr>
      </w:pPr>
      <w:r>
        <w:rPr>
          <w:rStyle w:val="FootnoteReference"/>
        </w:rPr>
        <w:footnoteRef/>
      </w:r>
      <w:r>
        <w:t xml:space="preserve"> </w:t>
      </w:r>
      <w:r>
        <w:rPr>
          <w:lang w:val="es-MX"/>
        </w:rPr>
        <w:t>CARLOS ESPLUGUES MOTA</w:t>
      </w:r>
      <w:r w:rsidRPr="005A1013">
        <w:rPr>
          <w:i/>
          <w:lang w:val="es-MX"/>
        </w:rPr>
        <w:t>, Contratación internacional</w:t>
      </w:r>
      <w:r>
        <w:rPr>
          <w:lang w:val="es-MX"/>
        </w:rPr>
        <w:t>, tirant  lo blanch, Valencia, 1999, p. 272 y 273..</w:t>
      </w:r>
    </w:p>
  </w:footnote>
  <w:footnote w:id="8">
    <w:p w:rsidR="006F4FE5" w:rsidRPr="003B56E1" w:rsidRDefault="006F4FE5" w:rsidP="003B56E1">
      <w:pPr>
        <w:pStyle w:val="FootnoteText"/>
        <w:jc w:val="both"/>
        <w:rPr>
          <w:lang w:val="es-MX"/>
        </w:rPr>
      </w:pPr>
      <w:r>
        <w:rPr>
          <w:rStyle w:val="FootnoteReference"/>
        </w:rPr>
        <w:footnoteRef/>
      </w:r>
      <w:r>
        <w:t xml:space="preserve"> </w:t>
      </w:r>
      <w:r>
        <w:rPr>
          <w:lang w:val="es-MX"/>
        </w:rPr>
        <w:t>FRANCISO OLIVA BLÁZQUEZ</w:t>
      </w:r>
      <w:r w:rsidRPr="003B56E1">
        <w:rPr>
          <w:i/>
          <w:lang w:val="es-MX"/>
        </w:rPr>
        <w:t>,  Compraventa internacional de mercaderías</w:t>
      </w:r>
      <w:r>
        <w:rPr>
          <w:lang w:val="es-MX"/>
        </w:rPr>
        <w:t>, tirant lo blanch, Valencia 2002, p. 173 y siguientes.</w:t>
      </w:r>
    </w:p>
  </w:footnote>
  <w:footnote w:id="9">
    <w:p w:rsidR="006F4FE5" w:rsidRPr="00396660" w:rsidRDefault="006F4FE5" w:rsidP="003952A3">
      <w:pPr>
        <w:pStyle w:val="FootnoteText"/>
        <w:jc w:val="both"/>
        <w:rPr>
          <w:lang w:val="es-MX"/>
        </w:rPr>
      </w:pPr>
      <w:r>
        <w:rPr>
          <w:rStyle w:val="FootnoteReference"/>
        </w:rPr>
        <w:footnoteRef/>
      </w:r>
      <w:r>
        <w:t xml:space="preserve"> </w:t>
      </w:r>
      <w:r>
        <w:rPr>
          <w:lang w:val="es-MX"/>
        </w:rPr>
        <w:t xml:space="preserve">JORGE ADAME GODDARD, </w:t>
      </w:r>
      <w:r w:rsidRPr="003952A3">
        <w:rPr>
          <w:i/>
          <w:lang w:val="es-MX"/>
        </w:rPr>
        <w:t>El contrato de compraventa internacional</w:t>
      </w:r>
      <w:r>
        <w:rPr>
          <w:lang w:val="es-MX"/>
        </w:rPr>
        <w:t>, Mc Graw Hill, México, 1999, p.168 y siguientes.</w:t>
      </w:r>
    </w:p>
  </w:footnote>
  <w:footnote w:id="10">
    <w:p w:rsidR="006F4FE5" w:rsidRPr="00A767F5" w:rsidRDefault="006F4FE5">
      <w:pPr>
        <w:pStyle w:val="FootnoteText"/>
        <w:rPr>
          <w:lang w:val="es-MX"/>
        </w:rPr>
      </w:pPr>
      <w:r>
        <w:rPr>
          <w:rStyle w:val="FootnoteReference"/>
        </w:rPr>
        <w:footnoteRef/>
      </w:r>
      <w:r>
        <w:t xml:space="preserve"> </w:t>
      </w:r>
      <w:r>
        <w:rPr>
          <w:lang w:val="es-MX"/>
        </w:rPr>
        <w:t>Jorge Adame Goddard, Obra citada, p 69.</w:t>
      </w:r>
    </w:p>
  </w:footnote>
  <w:footnote w:id="11">
    <w:p w:rsidR="006F4FE5" w:rsidRPr="00036844" w:rsidRDefault="006F4FE5" w:rsidP="00036844">
      <w:pPr>
        <w:pStyle w:val="FootnoteText"/>
        <w:jc w:val="both"/>
        <w:rPr>
          <w:lang w:val="es-MX"/>
        </w:rPr>
      </w:pPr>
      <w:r>
        <w:rPr>
          <w:rStyle w:val="FootnoteReference"/>
        </w:rPr>
        <w:footnoteRef/>
      </w:r>
      <w:r>
        <w:t xml:space="preserve"> </w:t>
      </w:r>
      <w:r>
        <w:rPr>
          <w:lang w:val="es-MX"/>
        </w:rPr>
        <w:t>Calvo Caravaca, Obra  citada, p.</w:t>
      </w:r>
    </w:p>
  </w:footnote>
  <w:footnote w:id="12">
    <w:p w:rsidR="006F4FE5" w:rsidRPr="001F6A3A" w:rsidRDefault="006F4FE5" w:rsidP="001F6A3A">
      <w:pPr>
        <w:pStyle w:val="FootnoteText"/>
        <w:jc w:val="both"/>
        <w:rPr>
          <w:lang w:val="es-MX"/>
        </w:rPr>
      </w:pPr>
      <w:r>
        <w:rPr>
          <w:rStyle w:val="FootnoteReference"/>
        </w:rPr>
        <w:footnoteRef/>
      </w:r>
      <w:r>
        <w:t xml:space="preserve"> </w:t>
      </w:r>
      <w:r>
        <w:rPr>
          <w:lang w:val="es-MX"/>
        </w:rPr>
        <w:t xml:space="preserve">JOSE VICENTE TROYA JARAMILLO, </w:t>
      </w:r>
      <w:r w:rsidRPr="001F6A3A">
        <w:rPr>
          <w:i/>
          <w:lang w:val="es-MX"/>
        </w:rPr>
        <w:t>Estudios de Derecho Tributario</w:t>
      </w:r>
      <w:r>
        <w:rPr>
          <w:lang w:val="es-MX"/>
        </w:rPr>
        <w:t>, Corporación Editora Nacional, Quito,</w:t>
      </w:r>
      <w:r w:rsidR="00A0200F">
        <w:rPr>
          <w:lang w:val="es-MX"/>
        </w:rPr>
        <w:t xml:space="preserve"> 1|990 </w:t>
      </w:r>
      <w:r>
        <w:rPr>
          <w:lang w:val="es-MX"/>
        </w:rPr>
        <w:t xml:space="preserve"> p.118 y siguientes</w:t>
      </w:r>
    </w:p>
  </w:footnote>
  <w:footnote w:id="13">
    <w:p w:rsidR="006F4FE5" w:rsidRPr="00570284" w:rsidRDefault="006F4FE5" w:rsidP="00570284">
      <w:pPr>
        <w:pStyle w:val="FootnoteText"/>
        <w:rPr>
          <w:lang w:val="es-MX"/>
        </w:rPr>
      </w:pPr>
      <w:r>
        <w:rPr>
          <w:rStyle w:val="FootnoteReference"/>
        </w:rPr>
        <w:footnoteRef/>
      </w:r>
      <w:r>
        <w:t xml:space="preserve"> </w:t>
      </w:r>
      <w:r>
        <w:rPr>
          <w:lang w:val="es-MX"/>
        </w:rPr>
        <w:t xml:space="preserve">OSVALDO J. MARZORATI, </w:t>
      </w:r>
      <w:r w:rsidRPr="00570284">
        <w:rPr>
          <w:i/>
          <w:lang w:val="es-MX"/>
        </w:rPr>
        <w:t>Derecho de los Negocios Internacionales</w:t>
      </w:r>
      <w:r>
        <w:rPr>
          <w:lang w:val="es-MX"/>
        </w:rPr>
        <w:t>, 3ª. edición, ASTREA, Buenos Aires, 2003, 1, p.126 y 127.</w:t>
      </w:r>
    </w:p>
  </w:footnote>
  <w:footnote w:id="14">
    <w:p w:rsidR="006F4FE5" w:rsidRPr="00EB01F9" w:rsidRDefault="006F4FE5" w:rsidP="00EB01F9">
      <w:pPr>
        <w:pStyle w:val="FootnoteText"/>
        <w:jc w:val="both"/>
        <w:rPr>
          <w:lang w:val="es-MX"/>
        </w:rPr>
      </w:pPr>
      <w:r>
        <w:rPr>
          <w:rStyle w:val="FootnoteReference"/>
        </w:rPr>
        <w:footnoteRef/>
      </w:r>
      <w:r>
        <w:t xml:space="preserve"> </w:t>
      </w:r>
      <w:r>
        <w:rPr>
          <w:lang w:val="es-MX"/>
        </w:rPr>
        <w:t xml:space="preserve">JOHN O. HONNOLD, </w:t>
      </w:r>
      <w:r w:rsidRPr="00EB01F9">
        <w:rPr>
          <w:i/>
          <w:lang w:val="es-MX"/>
        </w:rPr>
        <w:t>Derecho Uniforme sobre compraventas internacionales</w:t>
      </w:r>
      <w:r>
        <w:rPr>
          <w:lang w:val="es-MX"/>
        </w:rPr>
        <w:t xml:space="preserve">, Editorial Revista de Derecho Privado, Madrid, 1987, p. </w:t>
      </w:r>
      <w:smartTag w:uri="urn:schemas-microsoft-com:office:smarttags" w:element="metricconverter">
        <w:smartTagPr>
          <w:attr w:name="ProductID" w:val="112 a"/>
        </w:smartTagPr>
        <w:r>
          <w:rPr>
            <w:lang w:val="es-MX"/>
          </w:rPr>
          <w:t>112 a</w:t>
        </w:r>
      </w:smartTag>
      <w:r>
        <w:rPr>
          <w:lang w:val="es-MX"/>
        </w:rPr>
        <w:t xml:space="preserve"> 122.</w:t>
      </w:r>
    </w:p>
  </w:footnote>
  <w:footnote w:id="15">
    <w:p w:rsidR="006F4FE5" w:rsidRPr="008B64B0" w:rsidRDefault="006F4FE5" w:rsidP="008B64B0">
      <w:pPr>
        <w:pStyle w:val="FootnoteText"/>
        <w:jc w:val="both"/>
        <w:rPr>
          <w:lang w:val="es-MX"/>
        </w:rPr>
      </w:pPr>
      <w:r>
        <w:rPr>
          <w:rStyle w:val="FootnoteReference"/>
        </w:rPr>
        <w:footnoteRef/>
      </w:r>
      <w:r>
        <w:t xml:space="preserve"> </w:t>
      </w:r>
      <w:r>
        <w:rPr>
          <w:lang w:val="es-MX"/>
        </w:rPr>
        <w:t>ADAME GODDARD, Obra citada, p. 118.</w:t>
      </w:r>
    </w:p>
  </w:footnote>
  <w:footnote w:id="16">
    <w:p w:rsidR="006F4FE5" w:rsidRPr="00664B34" w:rsidRDefault="006F4FE5" w:rsidP="00552D05">
      <w:pPr>
        <w:pStyle w:val="FootnoteText"/>
        <w:jc w:val="both"/>
        <w:rPr>
          <w:lang w:val="es-MX"/>
        </w:rPr>
      </w:pPr>
      <w:r>
        <w:rPr>
          <w:rStyle w:val="FootnoteReference"/>
        </w:rPr>
        <w:footnoteRef/>
      </w:r>
      <w:r>
        <w:t xml:space="preserve"> </w:t>
      </w:r>
      <w:r>
        <w:rPr>
          <w:lang w:val="es-MX"/>
        </w:rPr>
        <w:t>CARLOS ESPLUGUES MOTA, Obra citada, p. 293 y 294.</w:t>
      </w:r>
    </w:p>
  </w:footnote>
  <w:footnote w:id="17">
    <w:p w:rsidR="006F4FE5" w:rsidRPr="00336057" w:rsidRDefault="006F4FE5" w:rsidP="00336057">
      <w:pPr>
        <w:pStyle w:val="FootnoteText"/>
        <w:jc w:val="both"/>
        <w:rPr>
          <w:lang w:val="es-MX"/>
        </w:rPr>
      </w:pPr>
      <w:r>
        <w:rPr>
          <w:rStyle w:val="FootnoteReference"/>
        </w:rPr>
        <w:footnoteRef/>
      </w:r>
      <w:r>
        <w:t xml:space="preserve"> </w:t>
      </w:r>
      <w:r>
        <w:rPr>
          <w:lang w:val="es-MX"/>
        </w:rPr>
        <w:t>ADAME GODDARD, Obra citada, p. 97</w:t>
      </w:r>
    </w:p>
  </w:footnote>
  <w:footnote w:id="18">
    <w:p w:rsidR="006F4FE5" w:rsidRPr="00753FA0" w:rsidRDefault="006F4FE5" w:rsidP="00753FA0">
      <w:pPr>
        <w:pStyle w:val="FootnoteText"/>
        <w:jc w:val="both"/>
        <w:rPr>
          <w:lang w:val="es-MX"/>
        </w:rPr>
      </w:pPr>
      <w:r>
        <w:rPr>
          <w:rStyle w:val="FootnoteReference"/>
        </w:rPr>
        <w:footnoteRef/>
      </w:r>
      <w:r>
        <w:t xml:space="preserve"> </w:t>
      </w:r>
      <w:r>
        <w:rPr>
          <w:lang w:val="es-MX"/>
        </w:rPr>
        <w:t>CALVO CARAVACA, obra citada, 223.</w:t>
      </w:r>
    </w:p>
  </w:footnote>
  <w:footnote w:id="19">
    <w:p w:rsidR="006F4FE5" w:rsidRPr="00704EBA" w:rsidRDefault="006F4FE5" w:rsidP="00956CA4">
      <w:pPr>
        <w:pStyle w:val="FootnoteText"/>
        <w:jc w:val="both"/>
        <w:rPr>
          <w:lang w:val="es-MX"/>
        </w:rPr>
      </w:pPr>
      <w:r>
        <w:rPr>
          <w:rStyle w:val="FootnoteReference"/>
        </w:rPr>
        <w:footnoteRef/>
      </w:r>
      <w:r>
        <w:t xml:space="preserve"> </w:t>
      </w:r>
      <w:r>
        <w:rPr>
          <w:lang w:val="es-MX"/>
        </w:rPr>
        <w:t xml:space="preserve">JUAN PABLO CÁRDENAS MEJÍA,  La formación del contrato de compraventa internacional de mercaderías, en Compraventa Internacional de Mercaderías, Comentarios a </w:t>
      </w:r>
      <w:smartTag w:uri="urn:schemas-microsoft-com:office:smarttags" w:element="PersonName">
        <w:smartTagPr>
          <w:attr w:name="ProductID" w:val="La Convenci￳n"/>
        </w:smartTagPr>
        <w:r>
          <w:rPr>
            <w:lang w:val="es-MX"/>
          </w:rPr>
          <w:t>la Convención</w:t>
        </w:r>
      </w:smartTag>
      <w:r>
        <w:rPr>
          <w:lang w:val="es-MX"/>
        </w:rPr>
        <w:t xml:space="preserve"> de Viena de 1980, Pontificia  Universidad Javeriana, Seminarios 15, Bogotá 2003</w:t>
      </w:r>
    </w:p>
  </w:footnote>
  <w:footnote w:id="20">
    <w:p w:rsidR="006F4FE5" w:rsidRPr="00452721" w:rsidRDefault="006F4FE5" w:rsidP="00452721">
      <w:pPr>
        <w:pStyle w:val="FootnoteText"/>
        <w:jc w:val="both"/>
        <w:rPr>
          <w:lang w:val="es-MX"/>
        </w:rPr>
      </w:pPr>
      <w:r>
        <w:rPr>
          <w:rStyle w:val="FootnoteReference"/>
        </w:rPr>
        <w:footnoteRef/>
      </w:r>
      <w:r>
        <w:t xml:space="preserve"> </w:t>
      </w:r>
      <w:r>
        <w:rPr>
          <w:lang w:val="es-MX"/>
        </w:rPr>
        <w:t>ADAME GODDArd, Obra citada, p. 104.</w:t>
      </w:r>
    </w:p>
  </w:footnote>
  <w:footnote w:id="21">
    <w:p w:rsidR="006F4FE5" w:rsidRPr="00DC7B3F" w:rsidRDefault="006F4FE5" w:rsidP="00DC7B3F">
      <w:pPr>
        <w:pStyle w:val="FootnoteText"/>
        <w:jc w:val="both"/>
        <w:rPr>
          <w:lang w:val="es-MX"/>
        </w:rPr>
      </w:pPr>
      <w:r>
        <w:rPr>
          <w:rStyle w:val="FootnoteReference"/>
        </w:rPr>
        <w:footnoteRef/>
      </w:r>
      <w:r>
        <w:t xml:space="preserve"> </w:t>
      </w:r>
      <w:r>
        <w:rPr>
          <w:lang w:val="es-MX"/>
        </w:rPr>
        <w:t xml:space="preserve">ALEJANDRO MIGUEL GARRO, ALBERTO LUIS ZUPPI, </w:t>
      </w:r>
      <w:r w:rsidRPr="00DC7B3F">
        <w:rPr>
          <w:i/>
          <w:lang w:val="es-MX"/>
        </w:rPr>
        <w:t>Compraventa internacional de mercaderías</w:t>
      </w:r>
      <w:r>
        <w:rPr>
          <w:lang w:val="es-MX"/>
        </w:rPr>
        <w:t xml:space="preserve">, Ediciones </w:t>
      </w:r>
      <w:smartTag w:uri="urn:schemas-microsoft-com:office:smarttags" w:element="PersonName">
        <w:smartTagPr>
          <w:attr w:name="ProductID" w:val="La Rocca"/>
        </w:smartTagPr>
        <w:r>
          <w:rPr>
            <w:lang w:val="es-MX"/>
          </w:rPr>
          <w:t>La Rocca</w:t>
        </w:r>
      </w:smartTag>
      <w:r>
        <w:rPr>
          <w:lang w:val="es-MX"/>
        </w:rPr>
        <w:t>, Buenos &gt;Aires, 1990, p. 117.</w:t>
      </w:r>
    </w:p>
  </w:footnote>
  <w:footnote w:id="22">
    <w:p w:rsidR="006F4FE5" w:rsidRPr="00F13826" w:rsidRDefault="006F4FE5" w:rsidP="00F13826">
      <w:pPr>
        <w:pStyle w:val="FootnoteText"/>
        <w:jc w:val="both"/>
        <w:rPr>
          <w:lang w:val="es-MX"/>
        </w:rPr>
      </w:pPr>
      <w:r>
        <w:rPr>
          <w:rStyle w:val="FootnoteReference"/>
        </w:rPr>
        <w:footnoteRef/>
      </w:r>
      <w:r>
        <w:t xml:space="preserve"> </w:t>
      </w:r>
      <w:r>
        <w:rPr>
          <w:lang w:val="es-MX"/>
        </w:rPr>
        <w:t>CALVO CARAVACA, Obra citada p. 227.</w:t>
      </w:r>
    </w:p>
  </w:footnote>
  <w:footnote w:id="23">
    <w:p w:rsidR="006F4FE5" w:rsidRPr="00B94E98" w:rsidRDefault="006F4FE5" w:rsidP="00B94E98">
      <w:pPr>
        <w:pStyle w:val="FootnoteText"/>
        <w:jc w:val="both"/>
        <w:rPr>
          <w:lang w:val="es-MX"/>
        </w:rPr>
      </w:pPr>
      <w:r>
        <w:rPr>
          <w:rStyle w:val="FootnoteReference"/>
        </w:rPr>
        <w:footnoteRef/>
      </w:r>
      <w:r>
        <w:t xml:space="preserve"> FORNER, GARRIGA, PARRA, Obra citada, p  40.</w:t>
      </w:r>
    </w:p>
  </w:footnote>
  <w:footnote w:id="24">
    <w:p w:rsidR="006F4FE5" w:rsidRPr="00540646" w:rsidRDefault="006F4FE5" w:rsidP="00540646">
      <w:pPr>
        <w:pStyle w:val="FootnoteText"/>
        <w:jc w:val="both"/>
        <w:rPr>
          <w:lang w:val="es-MX"/>
        </w:rPr>
      </w:pPr>
      <w:r>
        <w:rPr>
          <w:rStyle w:val="FootnoteReference"/>
        </w:rPr>
        <w:footnoteRef/>
      </w:r>
      <w:r>
        <w:t xml:space="preserve"> </w:t>
      </w:r>
      <w:r>
        <w:rPr>
          <w:lang w:val="es-MX"/>
        </w:rPr>
        <w:t>HONNOLD, Obra citada, p. 177.</w:t>
      </w:r>
    </w:p>
  </w:footnote>
  <w:footnote w:id="25">
    <w:p w:rsidR="006F4FE5" w:rsidRPr="00472BE4" w:rsidRDefault="006F4FE5" w:rsidP="00472BE4">
      <w:pPr>
        <w:pStyle w:val="FootnoteText"/>
        <w:jc w:val="both"/>
        <w:rPr>
          <w:lang w:val="es-MX"/>
        </w:rPr>
      </w:pPr>
      <w:r>
        <w:rPr>
          <w:rStyle w:val="FootnoteReference"/>
        </w:rPr>
        <w:footnoteRef/>
      </w:r>
      <w:r>
        <w:t xml:space="preserve"> </w:t>
      </w:r>
      <w:r>
        <w:rPr>
          <w:lang w:val="es-MX"/>
        </w:rPr>
        <w:t>ADAME GODDARD, Obra citada p. 106.</w:t>
      </w:r>
    </w:p>
  </w:footnote>
  <w:footnote w:id="26">
    <w:p w:rsidR="006F4FE5" w:rsidRPr="000050D5" w:rsidRDefault="006F4FE5" w:rsidP="000050D5">
      <w:pPr>
        <w:pStyle w:val="FootnoteText"/>
        <w:jc w:val="both"/>
        <w:rPr>
          <w:lang w:val="es-MX"/>
        </w:rPr>
      </w:pPr>
      <w:r>
        <w:rPr>
          <w:rStyle w:val="FootnoteReference"/>
        </w:rPr>
        <w:footnoteRef/>
      </w:r>
      <w:r>
        <w:t xml:space="preserve"> </w:t>
      </w:r>
      <w:r>
        <w:rPr>
          <w:lang w:val="es-MX"/>
        </w:rPr>
        <w:t>HONNOLD, Obra citada, p. 231.</w:t>
      </w:r>
    </w:p>
  </w:footnote>
  <w:footnote w:id="27">
    <w:p w:rsidR="006F4FE5" w:rsidRPr="00F133CB" w:rsidRDefault="006F4FE5" w:rsidP="00F133CB">
      <w:pPr>
        <w:pStyle w:val="FootnoteText"/>
        <w:jc w:val="both"/>
        <w:rPr>
          <w:lang w:val="es-MX"/>
        </w:rPr>
      </w:pPr>
      <w:r>
        <w:rPr>
          <w:rStyle w:val="FootnoteReference"/>
        </w:rPr>
        <w:footnoteRef/>
      </w:r>
      <w:r>
        <w:t xml:space="preserve"> </w:t>
      </w:r>
      <w:r>
        <w:rPr>
          <w:lang w:val="es-MX"/>
        </w:rPr>
        <w:t xml:space="preserve">MANUEL  MEDINA DE LEMUS, </w:t>
      </w:r>
      <w:r w:rsidRPr="00F133CB">
        <w:rPr>
          <w:i/>
          <w:lang w:val="es-MX"/>
        </w:rPr>
        <w:t>Contratos de Comercio Exterior</w:t>
      </w:r>
      <w:r>
        <w:rPr>
          <w:lang w:val="es-MX"/>
        </w:rPr>
        <w:t>, 2ª  Edición, DYKINSON, Madrid 2000, p. 117.</w:t>
      </w:r>
    </w:p>
  </w:footnote>
  <w:footnote w:id="28">
    <w:p w:rsidR="006F4FE5" w:rsidRPr="00633A6C" w:rsidRDefault="006F4FE5" w:rsidP="00633A6C">
      <w:pPr>
        <w:pStyle w:val="FootnoteText"/>
        <w:jc w:val="both"/>
        <w:rPr>
          <w:lang w:val="es-MX"/>
        </w:rPr>
      </w:pPr>
      <w:r>
        <w:rPr>
          <w:rStyle w:val="FootnoteReference"/>
        </w:rPr>
        <w:footnoteRef/>
      </w:r>
      <w:r>
        <w:t xml:space="preserve"> </w:t>
      </w:r>
      <w:r>
        <w:rPr>
          <w:lang w:val="es-MX"/>
        </w:rPr>
        <w:t>HONNOLD, Obra citada, p. 206</w:t>
      </w:r>
    </w:p>
  </w:footnote>
  <w:footnote w:id="29">
    <w:p w:rsidR="006F4FE5" w:rsidRPr="00421556" w:rsidRDefault="006F4FE5" w:rsidP="00421556">
      <w:pPr>
        <w:pStyle w:val="FootnoteText"/>
        <w:jc w:val="both"/>
        <w:rPr>
          <w:lang w:val="es-MX"/>
        </w:rPr>
      </w:pPr>
      <w:r>
        <w:rPr>
          <w:rStyle w:val="FootnoteReference"/>
        </w:rPr>
        <w:footnoteRef/>
      </w:r>
      <w:r>
        <w:t xml:space="preserve"> </w:t>
      </w:r>
      <w:r>
        <w:rPr>
          <w:lang w:val="es-MX"/>
        </w:rPr>
        <w:t>ESPLUGUE MOTA, Obra citada, p. 303.</w:t>
      </w:r>
    </w:p>
  </w:footnote>
  <w:footnote w:id="30">
    <w:p w:rsidR="006F4FE5" w:rsidRPr="00156AB9" w:rsidRDefault="006F4FE5" w:rsidP="00156AB9">
      <w:pPr>
        <w:pStyle w:val="FootnoteText"/>
        <w:jc w:val="both"/>
        <w:rPr>
          <w:lang w:val="es-MX"/>
        </w:rPr>
      </w:pPr>
      <w:r>
        <w:rPr>
          <w:rStyle w:val="FootnoteReference"/>
        </w:rPr>
        <w:footnoteRef/>
      </w:r>
      <w:r>
        <w:t xml:space="preserve"> </w:t>
      </w:r>
      <w:r>
        <w:rPr>
          <w:lang w:val="es-MX"/>
        </w:rPr>
        <w:t>HONNOLD, Obra citada, p. 108.</w:t>
      </w:r>
    </w:p>
  </w:footnote>
  <w:footnote w:id="31">
    <w:p w:rsidR="006F4FE5" w:rsidRPr="00B5336F" w:rsidRDefault="006F4FE5" w:rsidP="00B5336F">
      <w:pPr>
        <w:pStyle w:val="FootnoteText"/>
        <w:jc w:val="both"/>
        <w:rPr>
          <w:lang w:val="es-MX"/>
        </w:rPr>
      </w:pPr>
      <w:r>
        <w:rPr>
          <w:rStyle w:val="FootnoteReference"/>
        </w:rPr>
        <w:footnoteRef/>
      </w:r>
      <w:r>
        <w:t xml:space="preserve"> </w:t>
      </w:r>
      <w:r>
        <w:rPr>
          <w:lang w:val="es-MX"/>
        </w:rPr>
        <w:t>MEDINA DE LEMUS, Obra citada, p. 120 y 121.</w:t>
      </w:r>
    </w:p>
  </w:footnote>
  <w:footnote w:id="32">
    <w:p w:rsidR="006F4FE5" w:rsidRPr="0086362E" w:rsidRDefault="006F4FE5" w:rsidP="0086362E">
      <w:pPr>
        <w:pStyle w:val="FootnoteText"/>
        <w:rPr>
          <w:lang w:val="es-MX"/>
        </w:rPr>
      </w:pPr>
      <w:r>
        <w:rPr>
          <w:rStyle w:val="FootnoteReference"/>
        </w:rPr>
        <w:footnoteRef/>
      </w:r>
      <w:r>
        <w:t xml:space="preserve"> </w:t>
      </w:r>
      <w:r>
        <w:rPr>
          <w:lang w:val="es-MX"/>
        </w:rPr>
        <w:t>CALVO CARAVA, Obra citada, p. 198.</w:t>
      </w:r>
    </w:p>
  </w:footnote>
  <w:footnote w:id="33">
    <w:p w:rsidR="006F4FE5" w:rsidRPr="00477A9D" w:rsidRDefault="006F4FE5" w:rsidP="00F65651">
      <w:pPr>
        <w:pStyle w:val="FootnoteText"/>
        <w:jc w:val="both"/>
        <w:rPr>
          <w:lang w:val="es-MX"/>
        </w:rPr>
      </w:pPr>
      <w:r>
        <w:rPr>
          <w:rStyle w:val="FootnoteReference"/>
        </w:rPr>
        <w:footnoteRef/>
      </w:r>
      <w:r>
        <w:t xml:space="preserve"> FRANCISCO  VICENT CHULIA, </w:t>
      </w:r>
      <w:r w:rsidRPr="003219F1">
        <w:rPr>
          <w:i/>
        </w:rPr>
        <w:t>Compendio Crítico de Derecho Mercantil</w:t>
      </w:r>
      <w:r>
        <w:t xml:space="preserve">, 2ª. edición, Librería Bosch, Barcelona, 1986, p. 76. </w:t>
      </w:r>
    </w:p>
  </w:footnote>
  <w:footnote w:id="34">
    <w:p w:rsidR="006F4FE5" w:rsidRPr="005703A5" w:rsidRDefault="006F4FE5" w:rsidP="003219F1">
      <w:pPr>
        <w:pStyle w:val="FootnoteText"/>
        <w:jc w:val="both"/>
        <w:rPr>
          <w:lang w:val="es-MX"/>
        </w:rPr>
      </w:pPr>
      <w:r>
        <w:rPr>
          <w:rStyle w:val="FootnoteReference"/>
        </w:rPr>
        <w:footnoteRef/>
      </w:r>
      <w:r>
        <w:t xml:space="preserve"> </w:t>
      </w:r>
      <w:r>
        <w:rPr>
          <w:lang w:val="es-MX"/>
        </w:rPr>
        <w:t xml:space="preserve">OSVALDO J. MARZORATI,  </w:t>
      </w:r>
      <w:r w:rsidRPr="003219F1">
        <w:rPr>
          <w:i/>
          <w:lang w:val="es-MX"/>
        </w:rPr>
        <w:t>Derecho de los Negocios Internacionales</w:t>
      </w:r>
      <w:r>
        <w:rPr>
          <w:lang w:val="es-MX"/>
        </w:rPr>
        <w:t xml:space="preserve"> I, 3ª. edición actualizada y ampliada, ASTREA, Buenos Aires, 2003, p. 21 y siguientes.</w:t>
      </w:r>
    </w:p>
  </w:footnote>
  <w:footnote w:id="35">
    <w:p w:rsidR="006F4FE5" w:rsidRPr="007847C4" w:rsidRDefault="006F4FE5" w:rsidP="007847C4">
      <w:pPr>
        <w:pStyle w:val="FootnoteText"/>
        <w:jc w:val="both"/>
        <w:rPr>
          <w:lang w:val="es-MX"/>
        </w:rPr>
      </w:pPr>
      <w:r>
        <w:rPr>
          <w:rStyle w:val="FootnoteReference"/>
        </w:rPr>
        <w:footnoteRef/>
      </w:r>
      <w:r>
        <w:t xml:space="preserve"> </w:t>
      </w:r>
      <w:r>
        <w:rPr>
          <w:lang w:val="es-MX"/>
        </w:rPr>
        <w:t>ADAME GODDARD, Obra citada, p. 131 y siguientes.</w:t>
      </w:r>
    </w:p>
  </w:footnote>
  <w:footnote w:id="36">
    <w:p w:rsidR="006F4FE5" w:rsidRPr="00FD28AA" w:rsidRDefault="006F4FE5" w:rsidP="00FD28AA">
      <w:pPr>
        <w:pStyle w:val="FootnoteText"/>
        <w:jc w:val="both"/>
        <w:rPr>
          <w:lang w:val="es-MX"/>
        </w:rPr>
      </w:pPr>
      <w:r>
        <w:rPr>
          <w:rStyle w:val="FootnoteReference"/>
        </w:rPr>
        <w:footnoteRef/>
      </w:r>
      <w:r>
        <w:t xml:space="preserve"> </w:t>
      </w:r>
      <w:r>
        <w:rPr>
          <w:lang w:val="es-MX"/>
        </w:rPr>
        <w:t xml:space="preserve">CARLOS ESPLUGUES MOTA, Coordinador, </w:t>
      </w:r>
      <w:r w:rsidRPr="00FD28AA">
        <w:rPr>
          <w:i/>
          <w:lang w:val="es-MX"/>
        </w:rPr>
        <w:t>Contratación Internacional</w:t>
      </w:r>
      <w:r>
        <w:rPr>
          <w:lang w:val="es-MX"/>
        </w:rPr>
        <w:t>, tirant lo blanch, Valencia, 1999, p. 307.</w:t>
      </w:r>
    </w:p>
  </w:footnote>
  <w:footnote w:id="37">
    <w:p w:rsidR="006F4FE5" w:rsidRPr="002B2C86" w:rsidRDefault="006F4FE5" w:rsidP="002B2C86">
      <w:pPr>
        <w:pStyle w:val="FootnoteText"/>
        <w:jc w:val="both"/>
        <w:rPr>
          <w:lang w:val="es-MX"/>
        </w:rPr>
      </w:pPr>
      <w:r>
        <w:rPr>
          <w:rStyle w:val="FootnoteReference"/>
        </w:rPr>
        <w:footnoteRef/>
      </w:r>
      <w:r>
        <w:t xml:space="preserve"> </w:t>
      </w:r>
      <w:r>
        <w:rPr>
          <w:lang w:val="es-MX"/>
        </w:rPr>
        <w:t>CARLOS ESPLUGUES MOTA, Obra citada, p. 311-312.</w:t>
      </w:r>
    </w:p>
  </w:footnote>
  <w:footnote w:id="38">
    <w:p w:rsidR="006F4FE5" w:rsidRPr="00DB240A" w:rsidRDefault="006F4FE5" w:rsidP="00DB240A">
      <w:pPr>
        <w:pStyle w:val="FootnoteText"/>
        <w:jc w:val="both"/>
        <w:rPr>
          <w:lang w:val="es-MX"/>
        </w:rPr>
      </w:pPr>
      <w:r>
        <w:rPr>
          <w:rStyle w:val="FootnoteReference"/>
        </w:rPr>
        <w:footnoteRef/>
      </w:r>
      <w:r>
        <w:t xml:space="preserve"> </w:t>
      </w:r>
      <w:r>
        <w:rPr>
          <w:lang w:val="es-MX"/>
        </w:rPr>
        <w:t>CALVO CARAVACA. Obra citada,  242 y siguientes.</w:t>
      </w:r>
    </w:p>
  </w:footnote>
  <w:footnote w:id="39">
    <w:p w:rsidR="006F4FE5" w:rsidRPr="007F6F8F" w:rsidRDefault="006F4FE5" w:rsidP="007F6F8F">
      <w:pPr>
        <w:pStyle w:val="FootnoteText"/>
        <w:jc w:val="both"/>
        <w:rPr>
          <w:lang w:val="es-MX"/>
        </w:rPr>
      </w:pPr>
      <w:r>
        <w:rPr>
          <w:rStyle w:val="FootnoteReference"/>
        </w:rPr>
        <w:footnoteRef/>
      </w:r>
      <w:r>
        <w:t xml:space="preserve"> </w:t>
      </w:r>
      <w:r>
        <w:rPr>
          <w:lang w:val="es-MX"/>
        </w:rPr>
        <w:t>GARRO, ZUPPI, Obra citada, p. 155.</w:t>
      </w:r>
    </w:p>
  </w:footnote>
  <w:footnote w:id="40">
    <w:p w:rsidR="006F4FE5" w:rsidRPr="00D73082" w:rsidRDefault="006F4FE5" w:rsidP="00D73082">
      <w:pPr>
        <w:pStyle w:val="FootnoteText"/>
        <w:jc w:val="both"/>
        <w:rPr>
          <w:lang w:val="es-MX"/>
        </w:rPr>
      </w:pPr>
      <w:r>
        <w:rPr>
          <w:rStyle w:val="FootnoteReference"/>
        </w:rPr>
        <w:footnoteRef/>
      </w:r>
      <w:r>
        <w:t xml:space="preserve"> </w:t>
      </w:r>
      <w:r>
        <w:rPr>
          <w:lang w:val="es-MX"/>
        </w:rPr>
        <w:t>CARLOS ESPLUGES MOTA, Obra citada, p 317.</w:t>
      </w:r>
    </w:p>
  </w:footnote>
  <w:footnote w:id="41">
    <w:p w:rsidR="006F4FE5" w:rsidRPr="004F45D9" w:rsidRDefault="006F4FE5" w:rsidP="004F45D9">
      <w:pPr>
        <w:pStyle w:val="FootnoteText"/>
        <w:jc w:val="both"/>
        <w:rPr>
          <w:lang w:val="es-MX"/>
        </w:rPr>
      </w:pPr>
      <w:r>
        <w:rPr>
          <w:rStyle w:val="FootnoteReference"/>
        </w:rPr>
        <w:footnoteRef/>
      </w:r>
      <w:r>
        <w:t xml:space="preserve"> </w:t>
      </w:r>
      <w:r>
        <w:rPr>
          <w:lang w:val="es-MX"/>
        </w:rPr>
        <w:t>ADAME GODDARD, Obra citada, p. 192.</w:t>
      </w:r>
    </w:p>
  </w:footnote>
  <w:footnote w:id="42">
    <w:p w:rsidR="006F4FE5" w:rsidRPr="00FF67AF" w:rsidRDefault="006F4FE5">
      <w:pPr>
        <w:pStyle w:val="FootnoteText"/>
        <w:rPr>
          <w:lang w:val="es-MX"/>
        </w:rPr>
      </w:pPr>
      <w:r>
        <w:rPr>
          <w:rStyle w:val="FootnoteReference"/>
        </w:rPr>
        <w:footnoteRef/>
      </w:r>
      <w:r>
        <w:t xml:space="preserve"> </w:t>
      </w:r>
      <w:r>
        <w:rPr>
          <w:lang w:val="es-MX"/>
        </w:rPr>
        <w:t xml:space="preserve">TOMÁS VÁSQUEZ LÉPINETE,  </w:t>
      </w:r>
      <w:r w:rsidRPr="00FF67AF">
        <w:rPr>
          <w:i/>
          <w:lang w:val="es-MX"/>
        </w:rPr>
        <w:t>La compraventa Internacional de Mercaderías</w:t>
      </w:r>
      <w:r>
        <w:rPr>
          <w:lang w:val="es-MX"/>
        </w:rPr>
        <w:t>. ARAZANDI, Navarra 2000, p. 253.</w:t>
      </w:r>
    </w:p>
  </w:footnote>
  <w:footnote w:id="43">
    <w:p w:rsidR="006F4FE5" w:rsidRPr="009E1BAD" w:rsidRDefault="006F4FE5" w:rsidP="000335A1">
      <w:pPr>
        <w:pStyle w:val="FootnoteText"/>
        <w:jc w:val="both"/>
        <w:rPr>
          <w:lang w:val="es-MX"/>
        </w:rPr>
      </w:pPr>
      <w:r>
        <w:rPr>
          <w:rStyle w:val="FootnoteReference"/>
        </w:rPr>
        <w:footnoteRef/>
      </w:r>
      <w:r>
        <w:t xml:space="preserve"> </w:t>
      </w:r>
      <w:r>
        <w:rPr>
          <w:lang w:val="es-MX"/>
        </w:rPr>
        <w:t>GARRO Y ZUPPI, obra citada, p. 174 y siguientes.</w:t>
      </w:r>
    </w:p>
  </w:footnote>
  <w:footnote w:id="44">
    <w:p w:rsidR="006F4FE5" w:rsidRPr="000B153B" w:rsidRDefault="006F4FE5" w:rsidP="000B153B">
      <w:pPr>
        <w:pStyle w:val="FootnoteText"/>
        <w:jc w:val="both"/>
        <w:rPr>
          <w:lang w:val="es-MX"/>
        </w:rPr>
      </w:pPr>
      <w:r>
        <w:rPr>
          <w:rStyle w:val="FootnoteReference"/>
        </w:rPr>
        <w:footnoteRef/>
      </w:r>
      <w:r>
        <w:t xml:space="preserve"> </w:t>
      </w:r>
      <w:r>
        <w:rPr>
          <w:lang w:val="es-MX"/>
        </w:rPr>
        <w:t>CALVO CARAVACA, Obra citada, p. 286.</w:t>
      </w:r>
    </w:p>
  </w:footnote>
  <w:footnote w:id="45">
    <w:p w:rsidR="006F4FE5" w:rsidRPr="009D6576" w:rsidRDefault="006F4FE5" w:rsidP="009D6576">
      <w:pPr>
        <w:pStyle w:val="FootnoteText"/>
        <w:jc w:val="both"/>
        <w:rPr>
          <w:lang w:val="es-MX"/>
        </w:rPr>
      </w:pPr>
      <w:r>
        <w:rPr>
          <w:rStyle w:val="FootnoteReference"/>
        </w:rPr>
        <w:footnoteRef/>
      </w:r>
      <w:r>
        <w:t xml:space="preserve"> </w:t>
      </w:r>
      <w:r>
        <w:rPr>
          <w:lang w:val="es-MX"/>
        </w:rPr>
        <w:t>ESPLUGUES MOTA,  Obra citada,  p. 334</w:t>
      </w:r>
    </w:p>
  </w:footnote>
  <w:footnote w:id="46">
    <w:p w:rsidR="006F4FE5" w:rsidRPr="000B064F" w:rsidRDefault="006F4FE5" w:rsidP="000B064F">
      <w:pPr>
        <w:pStyle w:val="FootnoteText"/>
        <w:jc w:val="both"/>
        <w:rPr>
          <w:lang w:val="es-MX"/>
        </w:rPr>
      </w:pPr>
      <w:r>
        <w:rPr>
          <w:rStyle w:val="FootnoteReference"/>
        </w:rPr>
        <w:footnoteRef/>
      </w:r>
      <w:r>
        <w:t xml:space="preserve"> </w:t>
      </w:r>
      <w:r>
        <w:rPr>
          <w:lang w:val="es-MX"/>
        </w:rPr>
        <w:t>VÁZQUEZ LÉPINETE, Obra citada, p. 279 y siguientes.</w:t>
      </w:r>
    </w:p>
  </w:footnote>
  <w:footnote w:id="47">
    <w:p w:rsidR="006F4FE5" w:rsidRPr="00024A6C" w:rsidRDefault="006F4FE5" w:rsidP="00024A6C">
      <w:pPr>
        <w:pStyle w:val="FootnoteText"/>
        <w:jc w:val="both"/>
        <w:rPr>
          <w:lang w:val="es-MX"/>
        </w:rPr>
      </w:pPr>
      <w:r>
        <w:rPr>
          <w:rStyle w:val="FootnoteReference"/>
        </w:rPr>
        <w:footnoteRef/>
      </w:r>
      <w:r>
        <w:t xml:space="preserve"> </w:t>
      </w:r>
      <w:r>
        <w:rPr>
          <w:lang w:val="es-MX"/>
        </w:rPr>
        <w:t>VÁZQUEZ LÉPINETE, Obra citada, p. 300 y siguientes.</w:t>
      </w:r>
    </w:p>
  </w:footnote>
  <w:footnote w:id="48">
    <w:p w:rsidR="006F4FE5" w:rsidRPr="00A1116F" w:rsidRDefault="006F4FE5" w:rsidP="00A1116F">
      <w:pPr>
        <w:pStyle w:val="FootnoteText"/>
        <w:jc w:val="both"/>
        <w:rPr>
          <w:lang w:val="es-MX"/>
        </w:rPr>
      </w:pPr>
      <w:r>
        <w:rPr>
          <w:rStyle w:val="FootnoteReference"/>
        </w:rPr>
        <w:footnoteRef/>
      </w:r>
      <w:r>
        <w:t xml:space="preserve"> </w:t>
      </w:r>
      <w:r>
        <w:rPr>
          <w:lang w:val="es-MX"/>
        </w:rPr>
        <w:t>ESPLUGUES MOTA, Obra citada, p. 330-331.</w:t>
      </w:r>
    </w:p>
  </w:footnote>
  <w:footnote w:id="49">
    <w:p w:rsidR="006F4FE5" w:rsidRPr="006074FA" w:rsidRDefault="006F4FE5" w:rsidP="0043249C">
      <w:pPr>
        <w:pStyle w:val="FootnoteText"/>
        <w:jc w:val="both"/>
        <w:rPr>
          <w:lang w:val="es-MX"/>
        </w:rPr>
      </w:pPr>
      <w:r>
        <w:rPr>
          <w:rStyle w:val="FootnoteReference"/>
        </w:rPr>
        <w:footnoteRef/>
      </w:r>
      <w:r>
        <w:t xml:space="preserve"> CARMEN AMALIA SIMONE, </w:t>
      </w:r>
      <w:r w:rsidRPr="0043249C">
        <w:rPr>
          <w:i/>
        </w:rPr>
        <w:t>El hardship en la contratación comercial internacional</w:t>
      </w:r>
      <w:r>
        <w:t>, Revista de Derecho FORO, No. 5, 2006, Universidad Andina Simón Bolívar, Sede Ecuador, Corporación Editora Nacional, Quito, Ecuador.</w:t>
      </w:r>
    </w:p>
  </w:footnote>
  <w:footnote w:id="50">
    <w:p w:rsidR="006F4FE5" w:rsidRPr="00D00543" w:rsidRDefault="006F4FE5" w:rsidP="00D00543">
      <w:pPr>
        <w:pStyle w:val="FootnoteText"/>
        <w:jc w:val="both"/>
        <w:rPr>
          <w:lang w:val="es-MX"/>
        </w:rPr>
      </w:pPr>
      <w:r>
        <w:rPr>
          <w:rStyle w:val="FootnoteReference"/>
        </w:rPr>
        <w:footnoteRef/>
      </w:r>
      <w:r>
        <w:t xml:space="preserve"> </w:t>
      </w:r>
      <w:r>
        <w:rPr>
          <w:lang w:val="es-MX"/>
        </w:rPr>
        <w:t>ADAME GODDARD, Obra citada, p. 264 y siguientes.</w:t>
      </w:r>
    </w:p>
  </w:footnote>
  <w:footnote w:id="51">
    <w:p w:rsidR="006F4FE5" w:rsidRPr="00E0001E" w:rsidRDefault="006F4FE5" w:rsidP="00E0001E">
      <w:pPr>
        <w:pStyle w:val="FootnoteText"/>
        <w:jc w:val="both"/>
        <w:rPr>
          <w:lang w:val="es-MX"/>
        </w:rPr>
      </w:pPr>
      <w:r>
        <w:rPr>
          <w:rStyle w:val="FootnoteReference"/>
        </w:rPr>
        <w:footnoteRef/>
      </w:r>
      <w:r>
        <w:t xml:space="preserve"> </w:t>
      </w:r>
      <w:r>
        <w:rPr>
          <w:lang w:val="es-MX"/>
        </w:rPr>
        <w:t xml:space="preserve">GARRO, ZUPPI, Obra citada p. 244 y siguientes. </w:t>
      </w:r>
    </w:p>
  </w:footnote>
  <w:footnote w:id="52">
    <w:p w:rsidR="006F4FE5" w:rsidRPr="00755675" w:rsidRDefault="006F4FE5" w:rsidP="00755675">
      <w:pPr>
        <w:pStyle w:val="FootnoteText"/>
        <w:jc w:val="both"/>
        <w:rPr>
          <w:lang w:val="es-MX"/>
        </w:rPr>
      </w:pPr>
      <w:r>
        <w:rPr>
          <w:rStyle w:val="FootnoteReference"/>
        </w:rPr>
        <w:footnoteRef/>
      </w:r>
      <w:r>
        <w:t xml:space="preserve"> </w:t>
      </w:r>
      <w:r>
        <w:rPr>
          <w:lang w:val="es-MX"/>
        </w:rPr>
        <w:t xml:space="preserve">JUAN FRANCISCO TERÁN SUNCA,  </w:t>
      </w:r>
      <w:r w:rsidRPr="00755675">
        <w:rPr>
          <w:i/>
          <w:lang w:val="es-MX"/>
        </w:rPr>
        <w:t>La transmisión del riesgo en la compraventa internacional de mercaderías</w:t>
      </w:r>
      <w:r>
        <w:rPr>
          <w:lang w:val="es-MX"/>
        </w:rPr>
        <w:t>, Maestría en Derecho, Universidad Andina Simón Bolívar, Sede Ecuador, Área de Derecho, Quito, septiembre de 2009.</w:t>
      </w:r>
    </w:p>
  </w:footnote>
  <w:footnote w:id="53">
    <w:p w:rsidR="006F4FE5" w:rsidRPr="00E9614E" w:rsidRDefault="006F4FE5" w:rsidP="00E9614E">
      <w:pPr>
        <w:pStyle w:val="FootnoteText"/>
        <w:jc w:val="both"/>
        <w:rPr>
          <w:lang w:val="es-MX"/>
        </w:rPr>
      </w:pPr>
      <w:r>
        <w:rPr>
          <w:rStyle w:val="FootnoteReference"/>
        </w:rPr>
        <w:footnoteRef/>
      </w:r>
      <w:r>
        <w:t xml:space="preserve"> </w:t>
      </w:r>
      <w:r>
        <w:rPr>
          <w:lang w:val="es-MX"/>
        </w:rPr>
        <w:t xml:space="preserve">RAFAEL DOMINGO Y OTROS, </w:t>
      </w:r>
      <w:r w:rsidRPr="00DA03C3">
        <w:rPr>
          <w:i/>
          <w:lang w:val="es-MX"/>
        </w:rPr>
        <w:t>Principios de Derecho Global</w:t>
      </w:r>
      <w:r>
        <w:rPr>
          <w:lang w:val="es-MX"/>
        </w:rPr>
        <w:t>, Segunda Edición, THOMSON, Arazandi, Navarra 2006, p. 380.</w:t>
      </w:r>
    </w:p>
  </w:footnote>
  <w:footnote w:id="54">
    <w:p w:rsidR="006F4FE5" w:rsidRPr="00DA03C3" w:rsidRDefault="006F4FE5" w:rsidP="00DA03C3">
      <w:pPr>
        <w:pStyle w:val="FootnoteText"/>
        <w:jc w:val="both"/>
        <w:rPr>
          <w:lang w:val="es-MX"/>
        </w:rPr>
      </w:pPr>
      <w:r>
        <w:rPr>
          <w:rStyle w:val="FootnoteReference"/>
        </w:rPr>
        <w:footnoteRef/>
      </w:r>
      <w:r>
        <w:t xml:space="preserve"> </w:t>
      </w:r>
      <w:r>
        <w:rPr>
          <w:lang w:val="es-MX"/>
        </w:rPr>
        <w:t>FRANCISCO OLIVA BLÁZQUEZ</w:t>
      </w:r>
      <w:r w:rsidRPr="00DA03C3">
        <w:rPr>
          <w:i/>
          <w:lang w:val="es-MX"/>
        </w:rPr>
        <w:t>, La transmisión del riesgo en la compraventa internacional de mercaderías</w:t>
      </w:r>
      <w:r>
        <w:rPr>
          <w:lang w:val="es-MX"/>
        </w:rPr>
        <w:t>, Tirant lo Blanch, Valencia 2000, p. 81 y siguientes.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0A12" w:rsidRDefault="00CD0A12" w:rsidP="00CD0A12">
    <w:pPr>
      <w:pStyle w:val="Header"/>
      <w:pBdr>
        <w:bottom w:val="thickThinSmallGap" w:sz="24" w:space="1" w:color="622423"/>
      </w:pBdr>
      <w:jc w:val="right"/>
      <w:rPr>
        <w:rFonts w:ascii="Cambria" w:hAnsi="Cambria" w:cs="Times New Roman"/>
        <w:sz w:val="32"/>
        <w:szCs w:val="32"/>
      </w:rPr>
    </w:pPr>
    <w:r w:rsidRPr="00CD0A12">
      <w:rPr>
        <w:rFonts w:ascii="Times New Roman" w:hAnsi="Times New Roman" w:cs="Times New Roman"/>
        <w:i/>
        <w:sz w:val="20"/>
        <w:szCs w:val="20"/>
      </w:rPr>
      <w:t>Dr</w:t>
    </w:r>
    <w:r w:rsidRPr="00CD0A12">
      <w:rPr>
        <w:rFonts w:ascii="Times New Roman" w:hAnsi="Times New Roman" w:cs="Times New Roman"/>
        <w:i/>
        <w:sz w:val="20"/>
        <w:szCs w:val="20"/>
        <w:lang w:val="es-EC"/>
      </w:rPr>
      <w:t>. José Vicente Troya Jaramillo</w:t>
    </w:r>
  </w:p>
  <w:p w:rsidR="00CD0A12" w:rsidRDefault="00CD0A12">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52D5C"/>
    <w:multiLevelType w:val="hybridMultilevel"/>
    <w:tmpl w:val="6AD60BA6"/>
    <w:lvl w:ilvl="0" w:tplc="05B41128">
      <w:start w:val="3"/>
      <w:numFmt w:val="bullet"/>
      <w:lvlText w:val="-"/>
      <w:lvlJc w:val="left"/>
      <w:pPr>
        <w:tabs>
          <w:tab w:val="num" w:pos="717"/>
        </w:tabs>
        <w:ind w:left="717" w:hanging="360"/>
      </w:pPr>
      <w:rPr>
        <w:rFonts w:ascii="Times New Roman" w:eastAsia="Times New Roman" w:hAnsi="Times New Roman" w:cs="Times New Roman" w:hint="default"/>
      </w:rPr>
    </w:lvl>
    <w:lvl w:ilvl="1" w:tplc="0C0A0003" w:tentative="1">
      <w:start w:val="1"/>
      <w:numFmt w:val="bullet"/>
      <w:lvlText w:val="o"/>
      <w:lvlJc w:val="left"/>
      <w:pPr>
        <w:tabs>
          <w:tab w:val="num" w:pos="1437"/>
        </w:tabs>
        <w:ind w:left="1437" w:hanging="360"/>
      </w:pPr>
      <w:rPr>
        <w:rFonts w:ascii="Courier New" w:hAnsi="Courier New" w:cs="Courier New" w:hint="default"/>
      </w:rPr>
    </w:lvl>
    <w:lvl w:ilvl="2" w:tplc="0C0A0005" w:tentative="1">
      <w:start w:val="1"/>
      <w:numFmt w:val="bullet"/>
      <w:lvlText w:val=""/>
      <w:lvlJc w:val="left"/>
      <w:pPr>
        <w:tabs>
          <w:tab w:val="num" w:pos="2157"/>
        </w:tabs>
        <w:ind w:left="2157" w:hanging="360"/>
      </w:pPr>
      <w:rPr>
        <w:rFonts w:ascii="Wingdings" w:hAnsi="Wingdings" w:hint="default"/>
      </w:rPr>
    </w:lvl>
    <w:lvl w:ilvl="3" w:tplc="0C0A0001" w:tentative="1">
      <w:start w:val="1"/>
      <w:numFmt w:val="bullet"/>
      <w:lvlText w:val=""/>
      <w:lvlJc w:val="left"/>
      <w:pPr>
        <w:tabs>
          <w:tab w:val="num" w:pos="2877"/>
        </w:tabs>
        <w:ind w:left="2877" w:hanging="360"/>
      </w:pPr>
      <w:rPr>
        <w:rFonts w:ascii="Symbol" w:hAnsi="Symbol" w:hint="default"/>
      </w:rPr>
    </w:lvl>
    <w:lvl w:ilvl="4" w:tplc="0C0A0003" w:tentative="1">
      <w:start w:val="1"/>
      <w:numFmt w:val="bullet"/>
      <w:lvlText w:val="o"/>
      <w:lvlJc w:val="left"/>
      <w:pPr>
        <w:tabs>
          <w:tab w:val="num" w:pos="3597"/>
        </w:tabs>
        <w:ind w:left="3597" w:hanging="360"/>
      </w:pPr>
      <w:rPr>
        <w:rFonts w:ascii="Courier New" w:hAnsi="Courier New" w:cs="Courier New" w:hint="default"/>
      </w:rPr>
    </w:lvl>
    <w:lvl w:ilvl="5" w:tplc="0C0A0005" w:tentative="1">
      <w:start w:val="1"/>
      <w:numFmt w:val="bullet"/>
      <w:lvlText w:val=""/>
      <w:lvlJc w:val="left"/>
      <w:pPr>
        <w:tabs>
          <w:tab w:val="num" w:pos="4317"/>
        </w:tabs>
        <w:ind w:left="4317" w:hanging="360"/>
      </w:pPr>
      <w:rPr>
        <w:rFonts w:ascii="Wingdings" w:hAnsi="Wingdings" w:hint="default"/>
      </w:rPr>
    </w:lvl>
    <w:lvl w:ilvl="6" w:tplc="0C0A0001" w:tentative="1">
      <w:start w:val="1"/>
      <w:numFmt w:val="bullet"/>
      <w:lvlText w:val=""/>
      <w:lvlJc w:val="left"/>
      <w:pPr>
        <w:tabs>
          <w:tab w:val="num" w:pos="5037"/>
        </w:tabs>
        <w:ind w:left="5037" w:hanging="360"/>
      </w:pPr>
      <w:rPr>
        <w:rFonts w:ascii="Symbol" w:hAnsi="Symbol" w:hint="default"/>
      </w:rPr>
    </w:lvl>
    <w:lvl w:ilvl="7" w:tplc="0C0A0003" w:tentative="1">
      <w:start w:val="1"/>
      <w:numFmt w:val="bullet"/>
      <w:lvlText w:val="o"/>
      <w:lvlJc w:val="left"/>
      <w:pPr>
        <w:tabs>
          <w:tab w:val="num" w:pos="5757"/>
        </w:tabs>
        <w:ind w:left="5757" w:hanging="360"/>
      </w:pPr>
      <w:rPr>
        <w:rFonts w:ascii="Courier New" w:hAnsi="Courier New" w:cs="Courier New" w:hint="default"/>
      </w:rPr>
    </w:lvl>
    <w:lvl w:ilvl="8" w:tplc="0C0A0005" w:tentative="1">
      <w:start w:val="1"/>
      <w:numFmt w:val="bullet"/>
      <w:lvlText w:val=""/>
      <w:lvlJc w:val="left"/>
      <w:pPr>
        <w:tabs>
          <w:tab w:val="num" w:pos="6477"/>
        </w:tabs>
        <w:ind w:left="6477" w:hanging="360"/>
      </w:pPr>
      <w:rPr>
        <w:rFonts w:ascii="Wingdings" w:hAnsi="Wingdings" w:hint="default"/>
      </w:rPr>
    </w:lvl>
  </w:abstractNum>
  <w:abstractNum w:abstractNumId="1">
    <w:nsid w:val="16B43419"/>
    <w:multiLevelType w:val="multilevel"/>
    <w:tmpl w:val="A498CD26"/>
    <w:lvl w:ilvl="0">
      <w:start w:val="8"/>
      <w:numFmt w:val="decimal"/>
      <w:lvlText w:val="%1"/>
      <w:lvlJc w:val="left"/>
      <w:pPr>
        <w:tabs>
          <w:tab w:val="num" w:pos="360"/>
        </w:tabs>
        <w:ind w:left="360" w:hanging="360"/>
      </w:pPr>
      <w:rPr>
        <w:rFonts w:hint="default"/>
      </w:rPr>
    </w:lvl>
    <w:lvl w:ilvl="1">
      <w:start w:val="2"/>
      <w:numFmt w:val="decimal"/>
      <w:lvlText w:val="%1.%2"/>
      <w:lvlJc w:val="left"/>
      <w:pPr>
        <w:tabs>
          <w:tab w:val="num" w:pos="717"/>
        </w:tabs>
        <w:ind w:left="717" w:hanging="36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2151"/>
        </w:tabs>
        <w:ind w:left="2151" w:hanging="108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3225"/>
        </w:tabs>
        <w:ind w:left="3225" w:hanging="1440"/>
      </w:pPr>
      <w:rPr>
        <w:rFonts w:hint="default"/>
      </w:rPr>
    </w:lvl>
    <w:lvl w:ilvl="6">
      <w:start w:val="1"/>
      <w:numFmt w:val="decimal"/>
      <w:lvlText w:val="%1.%2.%3.%4.%5.%6.%7"/>
      <w:lvlJc w:val="left"/>
      <w:pPr>
        <w:tabs>
          <w:tab w:val="num" w:pos="3582"/>
        </w:tabs>
        <w:ind w:left="3582" w:hanging="1440"/>
      </w:pPr>
      <w:rPr>
        <w:rFonts w:hint="default"/>
      </w:rPr>
    </w:lvl>
    <w:lvl w:ilvl="7">
      <w:start w:val="1"/>
      <w:numFmt w:val="decimal"/>
      <w:lvlText w:val="%1.%2.%3.%4.%5.%6.%7.%8"/>
      <w:lvlJc w:val="left"/>
      <w:pPr>
        <w:tabs>
          <w:tab w:val="num" w:pos="4299"/>
        </w:tabs>
        <w:ind w:left="4299" w:hanging="1800"/>
      </w:pPr>
      <w:rPr>
        <w:rFonts w:hint="default"/>
      </w:rPr>
    </w:lvl>
    <w:lvl w:ilvl="8">
      <w:start w:val="1"/>
      <w:numFmt w:val="decimal"/>
      <w:lvlText w:val="%1.%2.%3.%4.%5.%6.%7.%8.%9"/>
      <w:lvlJc w:val="left"/>
      <w:pPr>
        <w:tabs>
          <w:tab w:val="num" w:pos="5016"/>
        </w:tabs>
        <w:ind w:left="5016" w:hanging="2160"/>
      </w:pPr>
      <w:rPr>
        <w:rFonts w:hint="default"/>
      </w:rPr>
    </w:lvl>
  </w:abstractNum>
  <w:abstractNum w:abstractNumId="2">
    <w:nsid w:val="31BB7CEB"/>
    <w:multiLevelType w:val="hybridMultilevel"/>
    <w:tmpl w:val="3C6A3A3E"/>
    <w:lvl w:ilvl="0" w:tplc="10CA6D0E">
      <w:start w:val="1"/>
      <w:numFmt w:val="decimal"/>
      <w:lvlText w:val="%1."/>
      <w:lvlJc w:val="left"/>
      <w:pPr>
        <w:tabs>
          <w:tab w:val="num" w:pos="720"/>
        </w:tabs>
        <w:ind w:left="720" w:hanging="360"/>
      </w:pPr>
      <w:rPr>
        <w:rFonts w:hint="default"/>
        <w:i/>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39D022FC"/>
    <w:multiLevelType w:val="hybridMultilevel"/>
    <w:tmpl w:val="4EE8A0B8"/>
    <w:lvl w:ilvl="0" w:tplc="74E4B3A4">
      <w:start w:val="1"/>
      <w:numFmt w:val="decimal"/>
      <w:lvlText w:val="%1."/>
      <w:lvlJc w:val="left"/>
      <w:pPr>
        <w:tabs>
          <w:tab w:val="num" w:pos="717"/>
        </w:tabs>
        <w:ind w:left="717" w:hanging="360"/>
      </w:pPr>
      <w:rPr>
        <w:rFonts w:hint="default"/>
      </w:rPr>
    </w:lvl>
    <w:lvl w:ilvl="1" w:tplc="0C0A0019" w:tentative="1">
      <w:start w:val="1"/>
      <w:numFmt w:val="lowerLetter"/>
      <w:lvlText w:val="%2."/>
      <w:lvlJc w:val="left"/>
      <w:pPr>
        <w:tabs>
          <w:tab w:val="num" w:pos="1437"/>
        </w:tabs>
        <w:ind w:left="1437" w:hanging="360"/>
      </w:p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4">
    <w:nsid w:val="4FF07F93"/>
    <w:multiLevelType w:val="multilevel"/>
    <w:tmpl w:val="124C4E24"/>
    <w:lvl w:ilvl="0">
      <w:start w:val="8"/>
      <w:numFmt w:val="decimal"/>
      <w:lvlText w:val="%1."/>
      <w:lvlJc w:val="left"/>
      <w:pPr>
        <w:tabs>
          <w:tab w:val="num" w:pos="720"/>
        </w:tabs>
        <w:ind w:left="720" w:hanging="720"/>
      </w:pPr>
      <w:rPr>
        <w:rFonts w:hint="default"/>
      </w:rPr>
    </w:lvl>
    <w:lvl w:ilvl="1">
      <w:start w:val="2"/>
      <w:numFmt w:val="decimal"/>
      <w:lvlText w:val="%1.%2."/>
      <w:lvlJc w:val="left"/>
      <w:pPr>
        <w:tabs>
          <w:tab w:val="num" w:pos="1077"/>
        </w:tabs>
        <w:ind w:left="1077" w:hanging="72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2151"/>
        </w:tabs>
        <w:ind w:left="2151" w:hanging="108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3225"/>
        </w:tabs>
        <w:ind w:left="3225" w:hanging="1440"/>
      </w:pPr>
      <w:rPr>
        <w:rFonts w:hint="default"/>
      </w:rPr>
    </w:lvl>
    <w:lvl w:ilvl="6">
      <w:start w:val="1"/>
      <w:numFmt w:val="decimal"/>
      <w:lvlText w:val="%1.%2.%3.%4.%5.%6.%7."/>
      <w:lvlJc w:val="left"/>
      <w:pPr>
        <w:tabs>
          <w:tab w:val="num" w:pos="3942"/>
        </w:tabs>
        <w:ind w:left="3942" w:hanging="1800"/>
      </w:pPr>
      <w:rPr>
        <w:rFonts w:hint="default"/>
      </w:rPr>
    </w:lvl>
    <w:lvl w:ilvl="7">
      <w:start w:val="1"/>
      <w:numFmt w:val="decimal"/>
      <w:lvlText w:val="%1.%2.%3.%4.%5.%6.%7.%8."/>
      <w:lvlJc w:val="left"/>
      <w:pPr>
        <w:tabs>
          <w:tab w:val="num" w:pos="4299"/>
        </w:tabs>
        <w:ind w:left="4299" w:hanging="1800"/>
      </w:pPr>
      <w:rPr>
        <w:rFonts w:hint="default"/>
      </w:rPr>
    </w:lvl>
    <w:lvl w:ilvl="8">
      <w:start w:val="1"/>
      <w:numFmt w:val="decimal"/>
      <w:lvlText w:val="%1.%2.%3.%4.%5.%6.%7.%8.%9."/>
      <w:lvlJc w:val="left"/>
      <w:pPr>
        <w:tabs>
          <w:tab w:val="num" w:pos="5016"/>
        </w:tabs>
        <w:ind w:left="5016" w:hanging="2160"/>
      </w:pPr>
      <w:rPr>
        <w:rFonts w:hint="default"/>
      </w:rPr>
    </w:lvl>
  </w:abstractNum>
  <w:abstractNum w:abstractNumId="5">
    <w:nsid w:val="56F70782"/>
    <w:multiLevelType w:val="hybridMultilevel"/>
    <w:tmpl w:val="D0807E44"/>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6C106D25"/>
    <w:multiLevelType w:val="multilevel"/>
    <w:tmpl w:val="E89EACBE"/>
    <w:lvl w:ilvl="0">
      <w:start w:val="8"/>
      <w:numFmt w:val="decimal"/>
      <w:lvlText w:val="%1."/>
      <w:lvlJc w:val="left"/>
      <w:pPr>
        <w:tabs>
          <w:tab w:val="num" w:pos="420"/>
        </w:tabs>
        <w:ind w:left="420" w:hanging="420"/>
      </w:pPr>
      <w:rPr>
        <w:rFonts w:hint="default"/>
      </w:rPr>
    </w:lvl>
    <w:lvl w:ilvl="1">
      <w:start w:val="2"/>
      <w:numFmt w:val="decimal"/>
      <w:lvlText w:val="%1.%2."/>
      <w:lvlJc w:val="left"/>
      <w:pPr>
        <w:tabs>
          <w:tab w:val="num" w:pos="1077"/>
        </w:tabs>
        <w:ind w:left="1077" w:hanging="720"/>
      </w:pPr>
      <w:rPr>
        <w:rFonts w:hint="default"/>
      </w:rPr>
    </w:lvl>
    <w:lvl w:ilvl="2">
      <w:start w:val="1"/>
      <w:numFmt w:val="decimal"/>
      <w:lvlText w:val="%1.%2.%3."/>
      <w:lvlJc w:val="left"/>
      <w:pPr>
        <w:tabs>
          <w:tab w:val="num" w:pos="1434"/>
        </w:tabs>
        <w:ind w:left="1434" w:hanging="720"/>
      </w:pPr>
      <w:rPr>
        <w:rFonts w:hint="default"/>
      </w:rPr>
    </w:lvl>
    <w:lvl w:ilvl="3">
      <w:start w:val="1"/>
      <w:numFmt w:val="decimal"/>
      <w:lvlText w:val="%1.%2.%3.%4."/>
      <w:lvlJc w:val="left"/>
      <w:pPr>
        <w:tabs>
          <w:tab w:val="num" w:pos="2151"/>
        </w:tabs>
        <w:ind w:left="2151" w:hanging="1080"/>
      </w:pPr>
      <w:rPr>
        <w:rFonts w:hint="default"/>
      </w:rPr>
    </w:lvl>
    <w:lvl w:ilvl="4">
      <w:start w:val="1"/>
      <w:numFmt w:val="decimal"/>
      <w:lvlText w:val="%1.%2.%3.%4.%5."/>
      <w:lvlJc w:val="left"/>
      <w:pPr>
        <w:tabs>
          <w:tab w:val="num" w:pos="2508"/>
        </w:tabs>
        <w:ind w:left="2508" w:hanging="1080"/>
      </w:pPr>
      <w:rPr>
        <w:rFonts w:hint="default"/>
      </w:rPr>
    </w:lvl>
    <w:lvl w:ilvl="5">
      <w:start w:val="1"/>
      <w:numFmt w:val="decimal"/>
      <w:lvlText w:val="%1.%2.%3.%4.%5.%6."/>
      <w:lvlJc w:val="left"/>
      <w:pPr>
        <w:tabs>
          <w:tab w:val="num" w:pos="3225"/>
        </w:tabs>
        <w:ind w:left="3225" w:hanging="1440"/>
      </w:pPr>
      <w:rPr>
        <w:rFonts w:hint="default"/>
      </w:rPr>
    </w:lvl>
    <w:lvl w:ilvl="6">
      <w:start w:val="1"/>
      <w:numFmt w:val="decimal"/>
      <w:lvlText w:val="%1.%2.%3.%4.%5.%6.%7."/>
      <w:lvlJc w:val="left"/>
      <w:pPr>
        <w:tabs>
          <w:tab w:val="num" w:pos="3942"/>
        </w:tabs>
        <w:ind w:left="3942" w:hanging="1800"/>
      </w:pPr>
      <w:rPr>
        <w:rFonts w:hint="default"/>
      </w:rPr>
    </w:lvl>
    <w:lvl w:ilvl="7">
      <w:start w:val="1"/>
      <w:numFmt w:val="decimal"/>
      <w:lvlText w:val="%1.%2.%3.%4.%5.%6.%7.%8."/>
      <w:lvlJc w:val="left"/>
      <w:pPr>
        <w:tabs>
          <w:tab w:val="num" w:pos="4299"/>
        </w:tabs>
        <w:ind w:left="4299" w:hanging="1800"/>
      </w:pPr>
      <w:rPr>
        <w:rFonts w:hint="default"/>
      </w:rPr>
    </w:lvl>
    <w:lvl w:ilvl="8">
      <w:start w:val="1"/>
      <w:numFmt w:val="decimal"/>
      <w:lvlText w:val="%1.%2.%3.%4.%5.%6.%7.%8.%9."/>
      <w:lvlJc w:val="left"/>
      <w:pPr>
        <w:tabs>
          <w:tab w:val="num" w:pos="5016"/>
        </w:tabs>
        <w:ind w:left="5016" w:hanging="2160"/>
      </w:pPr>
      <w:rPr>
        <w:rFonts w:hint="default"/>
      </w:rPr>
    </w:lvl>
  </w:abstractNum>
  <w:num w:numId="1">
    <w:abstractNumId w:val="2"/>
  </w:num>
  <w:num w:numId="2">
    <w:abstractNumId w:val="5"/>
  </w:num>
  <w:num w:numId="3">
    <w:abstractNumId w:val="3"/>
  </w:num>
  <w:num w:numId="4">
    <w:abstractNumId w:val="0"/>
  </w:num>
  <w:num w:numId="5">
    <w:abstractNumId w:val="4"/>
  </w:num>
  <w:num w:numId="6">
    <w:abstractNumId w:val="1"/>
  </w:num>
  <w:num w:numId="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74EBB"/>
    <w:rsid w:val="000050D5"/>
    <w:rsid w:val="00006E61"/>
    <w:rsid w:val="000071F5"/>
    <w:rsid w:val="00014CE6"/>
    <w:rsid w:val="00024A6C"/>
    <w:rsid w:val="000335A1"/>
    <w:rsid w:val="00036844"/>
    <w:rsid w:val="000438E8"/>
    <w:rsid w:val="00072C40"/>
    <w:rsid w:val="0008076C"/>
    <w:rsid w:val="000847C9"/>
    <w:rsid w:val="0009055B"/>
    <w:rsid w:val="000922AC"/>
    <w:rsid w:val="000A18DB"/>
    <w:rsid w:val="000B064F"/>
    <w:rsid w:val="000B153B"/>
    <w:rsid w:val="000C4632"/>
    <w:rsid w:val="000C76DF"/>
    <w:rsid w:val="000D6341"/>
    <w:rsid w:val="000E028E"/>
    <w:rsid w:val="000F0A41"/>
    <w:rsid w:val="000F739F"/>
    <w:rsid w:val="001009AF"/>
    <w:rsid w:val="0010216F"/>
    <w:rsid w:val="0010225E"/>
    <w:rsid w:val="00107A6E"/>
    <w:rsid w:val="00117418"/>
    <w:rsid w:val="001200DB"/>
    <w:rsid w:val="00122BF5"/>
    <w:rsid w:val="00135487"/>
    <w:rsid w:val="00144882"/>
    <w:rsid w:val="00154456"/>
    <w:rsid w:val="00156AB9"/>
    <w:rsid w:val="001777E3"/>
    <w:rsid w:val="00186155"/>
    <w:rsid w:val="0019700D"/>
    <w:rsid w:val="001B2F16"/>
    <w:rsid w:val="001B320D"/>
    <w:rsid w:val="001D0D67"/>
    <w:rsid w:val="001E5D36"/>
    <w:rsid w:val="001E787B"/>
    <w:rsid w:val="001F1B58"/>
    <w:rsid w:val="001F5A34"/>
    <w:rsid w:val="001F6A3A"/>
    <w:rsid w:val="0020299B"/>
    <w:rsid w:val="00204300"/>
    <w:rsid w:val="00217EA5"/>
    <w:rsid w:val="00235599"/>
    <w:rsid w:val="00251D87"/>
    <w:rsid w:val="00257583"/>
    <w:rsid w:val="00282FCC"/>
    <w:rsid w:val="002A11A9"/>
    <w:rsid w:val="002A378A"/>
    <w:rsid w:val="002B2C86"/>
    <w:rsid w:val="002C7B24"/>
    <w:rsid w:val="002D0507"/>
    <w:rsid w:val="002D274D"/>
    <w:rsid w:val="002D3028"/>
    <w:rsid w:val="002D3B53"/>
    <w:rsid w:val="002D760A"/>
    <w:rsid w:val="002E2647"/>
    <w:rsid w:val="002E2A78"/>
    <w:rsid w:val="002E4F19"/>
    <w:rsid w:val="002F0FDA"/>
    <w:rsid w:val="003060FA"/>
    <w:rsid w:val="00306351"/>
    <w:rsid w:val="003219F1"/>
    <w:rsid w:val="0032498F"/>
    <w:rsid w:val="003352B1"/>
    <w:rsid w:val="00336057"/>
    <w:rsid w:val="00371702"/>
    <w:rsid w:val="0038487C"/>
    <w:rsid w:val="00385A28"/>
    <w:rsid w:val="0039146F"/>
    <w:rsid w:val="003952A3"/>
    <w:rsid w:val="00396660"/>
    <w:rsid w:val="003A10C6"/>
    <w:rsid w:val="003A3AAE"/>
    <w:rsid w:val="003A685B"/>
    <w:rsid w:val="003B56E1"/>
    <w:rsid w:val="003C24D9"/>
    <w:rsid w:val="003C550A"/>
    <w:rsid w:val="003D02B1"/>
    <w:rsid w:val="003E5729"/>
    <w:rsid w:val="003E7029"/>
    <w:rsid w:val="003F6B41"/>
    <w:rsid w:val="0041305A"/>
    <w:rsid w:val="00417D78"/>
    <w:rsid w:val="00421556"/>
    <w:rsid w:val="0043249C"/>
    <w:rsid w:val="00434EF5"/>
    <w:rsid w:val="00435FEF"/>
    <w:rsid w:val="00450F54"/>
    <w:rsid w:val="00452721"/>
    <w:rsid w:val="00463EB4"/>
    <w:rsid w:val="00472BE4"/>
    <w:rsid w:val="00477977"/>
    <w:rsid w:val="00477A9D"/>
    <w:rsid w:val="00481FA1"/>
    <w:rsid w:val="004A2F34"/>
    <w:rsid w:val="004B291E"/>
    <w:rsid w:val="004B4F9A"/>
    <w:rsid w:val="004C1B3A"/>
    <w:rsid w:val="004C7053"/>
    <w:rsid w:val="004D3696"/>
    <w:rsid w:val="004F45D9"/>
    <w:rsid w:val="004F6E54"/>
    <w:rsid w:val="00516AFB"/>
    <w:rsid w:val="00520F48"/>
    <w:rsid w:val="00524423"/>
    <w:rsid w:val="005377C6"/>
    <w:rsid w:val="00540646"/>
    <w:rsid w:val="00552D05"/>
    <w:rsid w:val="00554F10"/>
    <w:rsid w:val="00570284"/>
    <w:rsid w:val="005703A5"/>
    <w:rsid w:val="00575F3D"/>
    <w:rsid w:val="00577B7D"/>
    <w:rsid w:val="00596BB6"/>
    <w:rsid w:val="005A1013"/>
    <w:rsid w:val="005A30BD"/>
    <w:rsid w:val="005B7F03"/>
    <w:rsid w:val="005D2611"/>
    <w:rsid w:val="005D3254"/>
    <w:rsid w:val="005E01BD"/>
    <w:rsid w:val="005E2047"/>
    <w:rsid w:val="005E454C"/>
    <w:rsid w:val="005E6AFD"/>
    <w:rsid w:val="005F0658"/>
    <w:rsid w:val="006074FA"/>
    <w:rsid w:val="006127FD"/>
    <w:rsid w:val="00614B22"/>
    <w:rsid w:val="00621642"/>
    <w:rsid w:val="00632C6F"/>
    <w:rsid w:val="00633A6C"/>
    <w:rsid w:val="00634FFE"/>
    <w:rsid w:val="00641FAA"/>
    <w:rsid w:val="00645704"/>
    <w:rsid w:val="0065223D"/>
    <w:rsid w:val="00655592"/>
    <w:rsid w:val="00657ADF"/>
    <w:rsid w:val="00664B34"/>
    <w:rsid w:val="00666ADD"/>
    <w:rsid w:val="0067279E"/>
    <w:rsid w:val="00674EBB"/>
    <w:rsid w:val="0067637D"/>
    <w:rsid w:val="00687E2E"/>
    <w:rsid w:val="006A25BA"/>
    <w:rsid w:val="006B17D3"/>
    <w:rsid w:val="006B7204"/>
    <w:rsid w:val="006C52EB"/>
    <w:rsid w:val="006E5A05"/>
    <w:rsid w:val="006E7350"/>
    <w:rsid w:val="006F01B5"/>
    <w:rsid w:val="006F4FE5"/>
    <w:rsid w:val="006F56E9"/>
    <w:rsid w:val="00704EBA"/>
    <w:rsid w:val="007077F7"/>
    <w:rsid w:val="007109AA"/>
    <w:rsid w:val="00713FB0"/>
    <w:rsid w:val="00725469"/>
    <w:rsid w:val="00730C49"/>
    <w:rsid w:val="00731A28"/>
    <w:rsid w:val="007433D1"/>
    <w:rsid w:val="00743C8D"/>
    <w:rsid w:val="00747C9E"/>
    <w:rsid w:val="00753FA0"/>
    <w:rsid w:val="00755675"/>
    <w:rsid w:val="007613C0"/>
    <w:rsid w:val="00764A63"/>
    <w:rsid w:val="00775C9C"/>
    <w:rsid w:val="007832F1"/>
    <w:rsid w:val="007847C4"/>
    <w:rsid w:val="007943B7"/>
    <w:rsid w:val="007A053B"/>
    <w:rsid w:val="007A1622"/>
    <w:rsid w:val="007A18D9"/>
    <w:rsid w:val="007A6374"/>
    <w:rsid w:val="007B512F"/>
    <w:rsid w:val="007D2370"/>
    <w:rsid w:val="007D50FD"/>
    <w:rsid w:val="007D586C"/>
    <w:rsid w:val="007E1EA1"/>
    <w:rsid w:val="007E422F"/>
    <w:rsid w:val="007F3397"/>
    <w:rsid w:val="007F457C"/>
    <w:rsid w:val="007F6F8F"/>
    <w:rsid w:val="00814DF7"/>
    <w:rsid w:val="00823708"/>
    <w:rsid w:val="00823737"/>
    <w:rsid w:val="00831EDA"/>
    <w:rsid w:val="008420F1"/>
    <w:rsid w:val="00842492"/>
    <w:rsid w:val="00846F89"/>
    <w:rsid w:val="008566D1"/>
    <w:rsid w:val="0086362E"/>
    <w:rsid w:val="00896D94"/>
    <w:rsid w:val="008B178C"/>
    <w:rsid w:val="008B41AC"/>
    <w:rsid w:val="008B4E82"/>
    <w:rsid w:val="008B4F98"/>
    <w:rsid w:val="008B5176"/>
    <w:rsid w:val="008B64B0"/>
    <w:rsid w:val="008C17C5"/>
    <w:rsid w:val="008D6253"/>
    <w:rsid w:val="008D728E"/>
    <w:rsid w:val="008E6F00"/>
    <w:rsid w:val="008F32C8"/>
    <w:rsid w:val="00900611"/>
    <w:rsid w:val="00901790"/>
    <w:rsid w:val="00901FCD"/>
    <w:rsid w:val="00904911"/>
    <w:rsid w:val="00913FA3"/>
    <w:rsid w:val="009211A6"/>
    <w:rsid w:val="00926B6B"/>
    <w:rsid w:val="00932A09"/>
    <w:rsid w:val="00934AD0"/>
    <w:rsid w:val="00935CA1"/>
    <w:rsid w:val="00935CC4"/>
    <w:rsid w:val="009371F4"/>
    <w:rsid w:val="00956CA4"/>
    <w:rsid w:val="00973386"/>
    <w:rsid w:val="00982A18"/>
    <w:rsid w:val="00990938"/>
    <w:rsid w:val="009937BB"/>
    <w:rsid w:val="009A1718"/>
    <w:rsid w:val="009A234D"/>
    <w:rsid w:val="009B2084"/>
    <w:rsid w:val="009D6576"/>
    <w:rsid w:val="009E1BAD"/>
    <w:rsid w:val="009E5638"/>
    <w:rsid w:val="00A0200F"/>
    <w:rsid w:val="00A10959"/>
    <w:rsid w:val="00A1116F"/>
    <w:rsid w:val="00A12BBD"/>
    <w:rsid w:val="00A141D0"/>
    <w:rsid w:val="00A20492"/>
    <w:rsid w:val="00A229A6"/>
    <w:rsid w:val="00A30DB4"/>
    <w:rsid w:val="00A35F29"/>
    <w:rsid w:val="00A37CE2"/>
    <w:rsid w:val="00A401BC"/>
    <w:rsid w:val="00A445DF"/>
    <w:rsid w:val="00A54554"/>
    <w:rsid w:val="00A60ED8"/>
    <w:rsid w:val="00A767F5"/>
    <w:rsid w:val="00A834AC"/>
    <w:rsid w:val="00A84B34"/>
    <w:rsid w:val="00A85CF4"/>
    <w:rsid w:val="00AA1926"/>
    <w:rsid w:val="00AA2CD4"/>
    <w:rsid w:val="00AA2E32"/>
    <w:rsid w:val="00AA3D4F"/>
    <w:rsid w:val="00AB1345"/>
    <w:rsid w:val="00AB4D4E"/>
    <w:rsid w:val="00AD567B"/>
    <w:rsid w:val="00AE474B"/>
    <w:rsid w:val="00AE6EE1"/>
    <w:rsid w:val="00B03700"/>
    <w:rsid w:val="00B211AC"/>
    <w:rsid w:val="00B32F81"/>
    <w:rsid w:val="00B353FC"/>
    <w:rsid w:val="00B36E85"/>
    <w:rsid w:val="00B43FAB"/>
    <w:rsid w:val="00B519BA"/>
    <w:rsid w:val="00B52500"/>
    <w:rsid w:val="00B5336F"/>
    <w:rsid w:val="00B62DEC"/>
    <w:rsid w:val="00B657EA"/>
    <w:rsid w:val="00B7258C"/>
    <w:rsid w:val="00B72B34"/>
    <w:rsid w:val="00B734F9"/>
    <w:rsid w:val="00B827C0"/>
    <w:rsid w:val="00B91F16"/>
    <w:rsid w:val="00B94E98"/>
    <w:rsid w:val="00BA140D"/>
    <w:rsid w:val="00BA1A89"/>
    <w:rsid w:val="00BA5965"/>
    <w:rsid w:val="00BD153B"/>
    <w:rsid w:val="00BD2372"/>
    <w:rsid w:val="00BE3F42"/>
    <w:rsid w:val="00BF110D"/>
    <w:rsid w:val="00C01D9D"/>
    <w:rsid w:val="00C06FAC"/>
    <w:rsid w:val="00C13784"/>
    <w:rsid w:val="00C1518C"/>
    <w:rsid w:val="00C17EFA"/>
    <w:rsid w:val="00C23475"/>
    <w:rsid w:val="00C54516"/>
    <w:rsid w:val="00C81D63"/>
    <w:rsid w:val="00C830C0"/>
    <w:rsid w:val="00C84FD4"/>
    <w:rsid w:val="00C86C8C"/>
    <w:rsid w:val="00C96575"/>
    <w:rsid w:val="00CA3661"/>
    <w:rsid w:val="00CB002B"/>
    <w:rsid w:val="00CB6638"/>
    <w:rsid w:val="00CC2DDA"/>
    <w:rsid w:val="00CD0598"/>
    <w:rsid w:val="00CD0A12"/>
    <w:rsid w:val="00CD4439"/>
    <w:rsid w:val="00CD5D99"/>
    <w:rsid w:val="00CE4C9A"/>
    <w:rsid w:val="00CE7927"/>
    <w:rsid w:val="00CF060C"/>
    <w:rsid w:val="00CF0EFB"/>
    <w:rsid w:val="00CF1DD3"/>
    <w:rsid w:val="00CF6C14"/>
    <w:rsid w:val="00D00543"/>
    <w:rsid w:val="00D163B2"/>
    <w:rsid w:val="00D17D58"/>
    <w:rsid w:val="00D50C25"/>
    <w:rsid w:val="00D73082"/>
    <w:rsid w:val="00D74005"/>
    <w:rsid w:val="00DA03C3"/>
    <w:rsid w:val="00DB0B62"/>
    <w:rsid w:val="00DB240A"/>
    <w:rsid w:val="00DC0621"/>
    <w:rsid w:val="00DC7B3F"/>
    <w:rsid w:val="00DD4553"/>
    <w:rsid w:val="00DF01FA"/>
    <w:rsid w:val="00E0001E"/>
    <w:rsid w:val="00E024BC"/>
    <w:rsid w:val="00E10F70"/>
    <w:rsid w:val="00E11124"/>
    <w:rsid w:val="00E2071E"/>
    <w:rsid w:val="00E23AE8"/>
    <w:rsid w:val="00E2489F"/>
    <w:rsid w:val="00E2722A"/>
    <w:rsid w:val="00E33A7C"/>
    <w:rsid w:val="00E345D8"/>
    <w:rsid w:val="00E41A6B"/>
    <w:rsid w:val="00E61581"/>
    <w:rsid w:val="00E74FA0"/>
    <w:rsid w:val="00E75F5A"/>
    <w:rsid w:val="00E82C0B"/>
    <w:rsid w:val="00E87F0B"/>
    <w:rsid w:val="00E92870"/>
    <w:rsid w:val="00E9614E"/>
    <w:rsid w:val="00EA4D8E"/>
    <w:rsid w:val="00EB01F9"/>
    <w:rsid w:val="00EB1F16"/>
    <w:rsid w:val="00EC4789"/>
    <w:rsid w:val="00ED5B5D"/>
    <w:rsid w:val="00ED7373"/>
    <w:rsid w:val="00ED75E1"/>
    <w:rsid w:val="00EE4333"/>
    <w:rsid w:val="00F00446"/>
    <w:rsid w:val="00F133CB"/>
    <w:rsid w:val="00F13826"/>
    <w:rsid w:val="00F13CCC"/>
    <w:rsid w:val="00F21FE2"/>
    <w:rsid w:val="00F2527B"/>
    <w:rsid w:val="00F31630"/>
    <w:rsid w:val="00F45220"/>
    <w:rsid w:val="00F632C4"/>
    <w:rsid w:val="00F65651"/>
    <w:rsid w:val="00F677D2"/>
    <w:rsid w:val="00F7734B"/>
    <w:rsid w:val="00FB35F8"/>
    <w:rsid w:val="00FC5CA4"/>
    <w:rsid w:val="00FD17B4"/>
    <w:rsid w:val="00FD28AA"/>
    <w:rsid w:val="00FE170E"/>
    <w:rsid w:val="00FF15F2"/>
    <w:rsid w:val="00FF3BD1"/>
    <w:rsid w:val="00FF67AF"/>
    <w:rsid w:val="00FF6A53"/>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hAnsi="Arial" w:cs="Arial"/>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noteText">
    <w:name w:val="footnote text"/>
    <w:basedOn w:val="Normal"/>
    <w:semiHidden/>
    <w:rsid w:val="00E41A6B"/>
    <w:rPr>
      <w:sz w:val="20"/>
      <w:szCs w:val="20"/>
    </w:rPr>
  </w:style>
  <w:style w:type="character" w:styleId="FootnoteReference">
    <w:name w:val="footnote reference"/>
    <w:basedOn w:val="DefaultParagraphFont"/>
    <w:semiHidden/>
    <w:rsid w:val="00E41A6B"/>
    <w:rPr>
      <w:vertAlign w:val="superscript"/>
    </w:rPr>
  </w:style>
  <w:style w:type="paragraph" w:styleId="Footer">
    <w:name w:val="footer"/>
    <w:basedOn w:val="Normal"/>
    <w:rsid w:val="00F45220"/>
    <w:pPr>
      <w:tabs>
        <w:tab w:val="center" w:pos="4252"/>
        <w:tab w:val="right" w:pos="8504"/>
      </w:tabs>
    </w:pPr>
  </w:style>
  <w:style w:type="character" w:styleId="PageNumber">
    <w:name w:val="page number"/>
    <w:basedOn w:val="DefaultParagraphFont"/>
    <w:rsid w:val="00F45220"/>
  </w:style>
  <w:style w:type="paragraph" w:styleId="Header">
    <w:name w:val="header"/>
    <w:basedOn w:val="Normal"/>
    <w:link w:val="HeaderChar"/>
    <w:uiPriority w:val="99"/>
    <w:rsid w:val="00CD0A12"/>
    <w:pPr>
      <w:tabs>
        <w:tab w:val="center" w:pos="4252"/>
        <w:tab w:val="right" w:pos="8504"/>
      </w:tabs>
    </w:pPr>
  </w:style>
  <w:style w:type="character" w:customStyle="1" w:styleId="HeaderChar">
    <w:name w:val="Header Char"/>
    <w:basedOn w:val="DefaultParagraphFont"/>
    <w:link w:val="Header"/>
    <w:uiPriority w:val="99"/>
    <w:rsid w:val="00CD0A12"/>
    <w:rPr>
      <w:rFonts w:ascii="Arial" w:hAnsi="Arial" w:cs="Arial"/>
      <w:sz w:val="24"/>
      <w:szCs w:val="24"/>
    </w:rPr>
  </w:style>
  <w:style w:type="paragraph" w:styleId="BalloonText">
    <w:name w:val="Balloon Text"/>
    <w:basedOn w:val="Normal"/>
    <w:link w:val="BalloonTextChar"/>
    <w:rsid w:val="00CD0A12"/>
    <w:rPr>
      <w:rFonts w:ascii="Tahoma" w:hAnsi="Tahoma" w:cs="Tahoma"/>
      <w:sz w:val="16"/>
      <w:szCs w:val="16"/>
    </w:rPr>
  </w:style>
  <w:style w:type="character" w:customStyle="1" w:styleId="BalloonTextChar">
    <w:name w:val="Balloon Text Char"/>
    <w:basedOn w:val="DefaultParagraphFont"/>
    <w:link w:val="BalloonText"/>
    <w:rsid w:val="00CD0A1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50</Pages>
  <Words>13525</Words>
  <Characters>74390</Characters>
  <Application>Microsoft Office Word</Application>
  <DocSecurity>0</DocSecurity>
  <Lines>619</Lines>
  <Paragraphs>175</Paragraphs>
  <ScaleCrop>false</ScaleCrop>
  <HeadingPairs>
    <vt:vector size="2" baseType="variant">
      <vt:variant>
        <vt:lpstr>Título</vt:lpstr>
      </vt:variant>
      <vt:variant>
        <vt:i4>1</vt:i4>
      </vt:variant>
    </vt:vector>
  </HeadingPairs>
  <TitlesOfParts>
    <vt:vector size="1" baseType="lpstr">
      <vt:lpstr>Dr. José Vicente Troya Jaramillo</vt:lpstr>
    </vt:vector>
  </TitlesOfParts>
  <Company/>
  <LinksUpToDate>false</LinksUpToDate>
  <CharactersWithSpaces>87740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 José Vicente Troya Jaramillo</dc:title>
  <dc:subject/>
  <dc:creator>U A S B</dc:creator>
  <cp:keywords/>
  <dc:description/>
  <cp:lastModifiedBy> ep</cp:lastModifiedBy>
  <cp:revision>2</cp:revision>
  <cp:lastPrinted>2009-10-03T16:19:00Z</cp:lastPrinted>
  <dcterms:created xsi:type="dcterms:W3CDTF">2010-02-18T19:46:00Z</dcterms:created>
  <dcterms:modified xsi:type="dcterms:W3CDTF">2010-02-18T19:46:00Z</dcterms:modified>
</cp:coreProperties>
</file>